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6C1521F4" w:rsidR="0030068F" w:rsidRPr="00FC7BBB" w:rsidRDefault="00AA1021" w:rsidP="0030068F">
      <w:pPr>
        <w:tabs>
          <w:tab w:val="right" w:pos="9360"/>
        </w:tabs>
        <w:spacing w:after="0"/>
        <w:rPr>
          <w:rFonts w:ascii="Arial" w:hAnsi="Arial" w:cs="Arial"/>
          <w:b/>
          <w:i/>
          <w:sz w:val="24"/>
          <w:lang w:eastAsia="zh-CN"/>
        </w:rPr>
      </w:pPr>
      <w:r>
        <w:rPr>
          <w:rFonts w:ascii="Arial" w:hAnsi="Arial" w:cs="Arial"/>
          <w:b/>
          <w:sz w:val="24"/>
          <w:lang w:val="en-US"/>
        </w:rPr>
        <w:t>3GPP TSG RAN WG1 Meeting #9</w:t>
      </w:r>
      <w:r w:rsidR="00065AAB">
        <w:rPr>
          <w:rFonts w:ascii="Arial" w:hAnsi="Arial" w:cs="Arial"/>
          <w:b/>
          <w:sz w:val="24"/>
          <w:lang w:val="en-US"/>
        </w:rPr>
        <w:t>4</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323D99">
        <w:rPr>
          <w:rFonts w:ascii="Arial" w:hAnsi="Arial" w:cs="Arial"/>
          <w:b/>
          <w:sz w:val="24"/>
        </w:rPr>
        <w:t>R1-</w:t>
      </w:r>
      <w:r w:rsidR="0073371D">
        <w:rPr>
          <w:rFonts w:ascii="Arial" w:hAnsi="Arial" w:cs="Arial"/>
          <w:b/>
          <w:sz w:val="24"/>
        </w:rPr>
        <w:t>1808687</w:t>
      </w:r>
    </w:p>
    <w:p w14:paraId="719E3DBE" w14:textId="3BCC345C" w:rsidR="0030068F" w:rsidRPr="00FC7BBB" w:rsidRDefault="00065AAB" w:rsidP="0030068F">
      <w:pPr>
        <w:spacing w:after="0"/>
        <w:rPr>
          <w:rFonts w:ascii="Arial" w:hAnsi="Arial" w:cs="Arial"/>
          <w:b/>
          <w:sz w:val="24"/>
        </w:rPr>
      </w:pPr>
      <w:r>
        <w:rPr>
          <w:rFonts w:ascii="Arial" w:hAnsi="Arial" w:cs="Arial"/>
          <w:b/>
          <w:sz w:val="24"/>
          <w:lang w:val="en-US"/>
        </w:rPr>
        <w:t xml:space="preserve">Gothenburg, Sweden, August </w:t>
      </w:r>
      <w:r w:rsidR="00B25992">
        <w:rPr>
          <w:rFonts w:ascii="Arial" w:hAnsi="Arial" w:cs="Arial"/>
          <w:b/>
          <w:sz w:val="24"/>
          <w:lang w:val="en-US"/>
        </w:rPr>
        <w:t>2</w:t>
      </w:r>
      <w:r>
        <w:rPr>
          <w:rFonts w:ascii="Arial" w:hAnsi="Arial" w:cs="Arial"/>
          <w:b/>
          <w:sz w:val="24"/>
          <w:lang w:val="en-US"/>
        </w:rPr>
        <w:t>0</w:t>
      </w:r>
      <w:r>
        <w:rPr>
          <w:rFonts w:ascii="Arial" w:hAnsi="Arial" w:cs="Arial"/>
          <w:b/>
          <w:sz w:val="24"/>
          <w:vertAlign w:val="superscript"/>
          <w:lang w:val="en-US"/>
        </w:rPr>
        <w:t>th</w:t>
      </w:r>
      <w:r w:rsidR="00B25992">
        <w:rPr>
          <w:rFonts w:ascii="Arial" w:hAnsi="Arial" w:cs="Arial"/>
          <w:b/>
          <w:sz w:val="24"/>
          <w:lang w:val="en-US"/>
        </w:rPr>
        <w:t xml:space="preserve"> </w:t>
      </w:r>
      <w:r w:rsidR="00E22F72">
        <w:rPr>
          <w:rFonts w:ascii="Arial" w:hAnsi="Arial" w:cs="Arial"/>
          <w:b/>
          <w:sz w:val="24"/>
          <w:lang w:val="en-US"/>
        </w:rPr>
        <w:t>– 2</w:t>
      </w:r>
      <w:r>
        <w:rPr>
          <w:rFonts w:ascii="Arial" w:hAnsi="Arial" w:cs="Arial"/>
          <w:b/>
          <w:sz w:val="24"/>
          <w:lang w:val="en-US"/>
        </w:rPr>
        <w:t>4</w:t>
      </w:r>
      <w:r w:rsidR="00E22F72" w:rsidRPr="003E5A52">
        <w:rPr>
          <w:rFonts w:ascii="Arial" w:hAnsi="Arial" w:cs="Arial"/>
          <w:b/>
          <w:sz w:val="24"/>
          <w:vertAlign w:val="superscript"/>
          <w:lang w:val="en-US"/>
        </w:rPr>
        <w:t>th</w:t>
      </w:r>
      <w:r w:rsidR="00E22F72">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A09AC59"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23D99">
        <w:rPr>
          <w:rFonts w:ascii="Arial" w:hAnsi="Arial" w:cs="Arial"/>
          <w:b/>
          <w:bCs/>
          <w:sz w:val="24"/>
          <w:lang w:val="en-US"/>
        </w:rPr>
        <w:t>7.2.2.4.3</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3841F411"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323D99">
        <w:rPr>
          <w:rFonts w:ascii="Arial" w:hAnsi="Arial" w:cs="Arial"/>
          <w:b/>
          <w:bCs/>
          <w:sz w:val="24"/>
          <w:lang w:val="en-US"/>
        </w:rPr>
        <w:t>E</w:t>
      </w:r>
      <w:r w:rsidR="00AE2351" w:rsidRPr="00AE2351">
        <w:rPr>
          <w:rFonts w:ascii="Arial" w:hAnsi="Arial" w:cs="Arial"/>
          <w:b/>
          <w:bCs/>
          <w:sz w:val="24"/>
          <w:lang w:val="en-US"/>
        </w:rPr>
        <w:t xml:space="preserve">nhancements to HARQ </w:t>
      </w:r>
      <w:r w:rsidR="00323D99">
        <w:rPr>
          <w:rFonts w:ascii="Arial" w:hAnsi="Arial" w:cs="Arial"/>
          <w:b/>
          <w:bCs/>
          <w:sz w:val="24"/>
          <w:lang w:val="en-US"/>
        </w:rPr>
        <w:t>for NR-unlicensed</w:t>
      </w:r>
      <w:r w:rsidR="00AE2351" w:rsidRPr="00AE2351">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33A00F3E" w14:textId="75A46690" w:rsidR="00F80923" w:rsidRPr="007B7924" w:rsidRDefault="00E503C3" w:rsidP="00396B04">
      <w:pPr>
        <w:pStyle w:val="Heading1"/>
        <w:keepNext w:val="0"/>
        <w:widowControl w:val="0"/>
        <w:spacing w:before="480" w:after="120"/>
        <w:ind w:left="518" w:hanging="518"/>
        <w:rPr>
          <w:sz w:val="28"/>
        </w:rPr>
      </w:pPr>
      <w:r>
        <w:rPr>
          <w:sz w:val="28"/>
        </w:rPr>
        <w:t>Introduction</w:t>
      </w:r>
      <w:r w:rsidR="00DE31C2">
        <w:rPr>
          <w:sz w:val="28"/>
        </w:rPr>
        <w:t xml:space="preserve"> </w:t>
      </w:r>
    </w:p>
    <w:p w14:paraId="1D4B7E58" w14:textId="0B4B9ADF" w:rsidR="00F80923" w:rsidRDefault="00396AF3" w:rsidP="00396B04">
      <w:r>
        <w:t>In RAN1 #93, the following agreements were made [1]:</w:t>
      </w:r>
    </w:p>
    <w:tbl>
      <w:tblPr>
        <w:tblStyle w:val="TableGrid"/>
        <w:tblW w:w="0" w:type="auto"/>
        <w:tblLook w:val="04A0" w:firstRow="1" w:lastRow="0" w:firstColumn="1" w:lastColumn="0" w:noHBand="0" w:noVBand="1"/>
      </w:tblPr>
      <w:tblGrid>
        <w:gridCol w:w="9919"/>
      </w:tblGrid>
      <w:tr w:rsidR="00396AF3" w14:paraId="2A72A5B3" w14:textId="77777777" w:rsidTr="00106589">
        <w:tc>
          <w:tcPr>
            <w:tcW w:w="9919" w:type="dxa"/>
          </w:tcPr>
          <w:p w14:paraId="6431223D" w14:textId="77777777" w:rsidR="00396AF3" w:rsidRPr="00D80EDE" w:rsidRDefault="00396AF3" w:rsidP="00AF76E1">
            <w:pPr>
              <w:spacing w:before="120"/>
              <w:rPr>
                <w:lang w:eastAsia="x-none"/>
              </w:rPr>
            </w:pPr>
            <w:r w:rsidRPr="00876D16">
              <w:rPr>
                <w:highlight w:val="green"/>
                <w:lang w:eastAsia="x-none"/>
              </w:rPr>
              <w:t>Agreement:</w:t>
            </w:r>
          </w:p>
          <w:p w14:paraId="4BFB6171" w14:textId="77777777" w:rsidR="00396AF3" w:rsidRPr="00D80EDE" w:rsidRDefault="00396AF3" w:rsidP="00396AF3">
            <w:pPr>
              <w:numPr>
                <w:ilvl w:val="0"/>
                <w:numId w:val="43"/>
              </w:numPr>
              <w:spacing w:after="0"/>
              <w:jc w:val="left"/>
              <w:rPr>
                <w:lang w:eastAsia="x-none"/>
              </w:rPr>
            </w:pPr>
            <w:r w:rsidRPr="00D80EDE">
              <w:rPr>
                <w:lang w:eastAsia="x-none"/>
              </w:rPr>
              <w:t>Transmission of HARQ A/N for the corresponding data in the same shared COT is identified as beneficial</w:t>
            </w:r>
          </w:p>
          <w:p w14:paraId="05D5F961" w14:textId="77777777" w:rsidR="00396AF3" w:rsidRPr="00D80EDE" w:rsidRDefault="00396AF3" w:rsidP="00396AF3">
            <w:pPr>
              <w:numPr>
                <w:ilvl w:val="1"/>
                <w:numId w:val="43"/>
              </w:numPr>
              <w:spacing w:after="0"/>
              <w:jc w:val="left"/>
              <w:rPr>
                <w:lang w:eastAsia="x-none"/>
              </w:rPr>
            </w:pPr>
            <w:r w:rsidRPr="00D80EDE">
              <w:rPr>
                <w:lang w:eastAsia="x-none"/>
              </w:rPr>
              <w:t>Strive to support transmitting all HARQ A/N for the corresponding data in the same shared COT, if possible, considering the current NR UE processing time required</w:t>
            </w:r>
          </w:p>
          <w:p w14:paraId="7CCCC318" w14:textId="77777777" w:rsidR="00396AF3" w:rsidRPr="00D80EDE" w:rsidRDefault="00396AF3" w:rsidP="00396AF3">
            <w:pPr>
              <w:numPr>
                <w:ilvl w:val="2"/>
                <w:numId w:val="43"/>
              </w:numPr>
              <w:spacing w:after="0"/>
              <w:jc w:val="left"/>
              <w:rPr>
                <w:lang w:eastAsia="x-none"/>
              </w:rPr>
            </w:pPr>
            <w:r w:rsidRPr="00D80EDE">
              <w:rPr>
                <w:lang w:eastAsia="x-none"/>
              </w:rPr>
              <w:t>Mechanisms to support this need to be identified</w:t>
            </w:r>
          </w:p>
          <w:p w14:paraId="56656D26" w14:textId="77777777" w:rsidR="00396AF3" w:rsidRPr="00D80EDE" w:rsidRDefault="00396AF3" w:rsidP="00396AF3">
            <w:pPr>
              <w:pStyle w:val="ListParagraph"/>
              <w:numPr>
                <w:ilvl w:val="1"/>
                <w:numId w:val="43"/>
              </w:numPr>
              <w:spacing w:after="0" w:line="240" w:lineRule="auto"/>
              <w:jc w:val="left"/>
              <w:rPr>
                <w:szCs w:val="20"/>
              </w:rPr>
            </w:pPr>
            <w:r w:rsidRPr="00D80EDE">
              <w:rPr>
                <w:szCs w:val="20"/>
              </w:rPr>
              <w:t>It is understood in some cases, the HARQ A/N has to be transmitted in a separate COT from the one the corresponding data was transmitted</w:t>
            </w:r>
          </w:p>
          <w:p w14:paraId="0C192758" w14:textId="77777777" w:rsidR="00396AF3" w:rsidRPr="00D80EDE" w:rsidRDefault="00396AF3" w:rsidP="00396AF3">
            <w:pPr>
              <w:numPr>
                <w:ilvl w:val="2"/>
                <w:numId w:val="43"/>
              </w:numPr>
              <w:spacing w:after="0"/>
              <w:jc w:val="left"/>
              <w:rPr>
                <w:lang w:eastAsia="x-none"/>
              </w:rPr>
            </w:pPr>
            <w:r w:rsidRPr="00D80EDE">
              <w:rPr>
                <w:lang w:eastAsia="x-none"/>
              </w:rPr>
              <w:t>Mechanisms to support this need to be identified</w:t>
            </w:r>
          </w:p>
          <w:p w14:paraId="3C071AF5" w14:textId="77777777" w:rsidR="00396AF3" w:rsidRPr="00D80EDE" w:rsidRDefault="00396AF3" w:rsidP="00396AF3">
            <w:pPr>
              <w:spacing w:line="259" w:lineRule="auto"/>
              <w:rPr>
                <w:highlight w:val="cyan"/>
              </w:rPr>
            </w:pPr>
            <w:r w:rsidRPr="00876D16">
              <w:rPr>
                <w:highlight w:val="green"/>
              </w:rPr>
              <w:t>Agreement:</w:t>
            </w:r>
          </w:p>
          <w:p w14:paraId="77A2077C" w14:textId="77777777" w:rsidR="00396AF3" w:rsidRPr="00D80EDE" w:rsidRDefault="00396AF3" w:rsidP="00396AF3">
            <w:pPr>
              <w:numPr>
                <w:ilvl w:val="0"/>
                <w:numId w:val="43"/>
              </w:numPr>
              <w:spacing w:after="0"/>
              <w:jc w:val="left"/>
              <w:rPr>
                <w:lang w:eastAsia="x-none"/>
              </w:rPr>
            </w:pPr>
            <w:r w:rsidRPr="00D80EDE">
              <w:rPr>
                <w:lang w:eastAsia="x-none"/>
              </w:rPr>
              <w:t>Techniques to handle reduced HARQ A/N transmission opportunities for a given HARQ process due to LBT failure are identified as beneficial</w:t>
            </w:r>
          </w:p>
          <w:p w14:paraId="1E062220" w14:textId="77777777" w:rsidR="00396AF3" w:rsidRPr="00D80EDE" w:rsidRDefault="00396AF3" w:rsidP="00396AF3">
            <w:pPr>
              <w:numPr>
                <w:ilvl w:val="1"/>
                <w:numId w:val="43"/>
              </w:numPr>
              <w:spacing w:after="0"/>
              <w:jc w:val="left"/>
              <w:rPr>
                <w:lang w:eastAsia="x-none"/>
              </w:rPr>
            </w:pPr>
            <w:r w:rsidRPr="00D80EDE">
              <w:rPr>
                <w:lang w:eastAsia="x-none"/>
              </w:rPr>
              <w:t>Potential techniques include mechanisms to provide multiple and/or supplemental time and/or frequency domain transmission opportunities</w:t>
            </w:r>
          </w:p>
          <w:p w14:paraId="6C57E5B0" w14:textId="77777777" w:rsidR="00396AF3" w:rsidRPr="00C032F8" w:rsidRDefault="00396AF3" w:rsidP="00396AF3">
            <w:pPr>
              <w:spacing w:line="259" w:lineRule="auto"/>
            </w:pPr>
            <w:r w:rsidRPr="00876D16">
              <w:rPr>
                <w:highlight w:val="green"/>
              </w:rPr>
              <w:t>Agreement:</w:t>
            </w:r>
          </w:p>
          <w:p w14:paraId="03137665" w14:textId="77777777" w:rsidR="00396AF3" w:rsidRPr="00C032F8" w:rsidRDefault="00396AF3" w:rsidP="00396AF3">
            <w:pPr>
              <w:pStyle w:val="ListParagraph"/>
              <w:numPr>
                <w:ilvl w:val="0"/>
                <w:numId w:val="43"/>
              </w:numPr>
              <w:spacing w:after="0" w:line="259" w:lineRule="auto"/>
              <w:jc w:val="left"/>
              <w:rPr>
                <w:szCs w:val="20"/>
              </w:rPr>
            </w:pPr>
            <w:r w:rsidRPr="00C032F8">
              <w:rPr>
                <w:szCs w:val="20"/>
              </w:rPr>
              <w:t>NR-U uses NR HARQ feedback mechanisms as baseline, and enhancements can be identified</w:t>
            </w:r>
          </w:p>
          <w:p w14:paraId="1CB1B212" w14:textId="77777777" w:rsidR="00396AF3" w:rsidRPr="00C032F8" w:rsidRDefault="00396AF3" w:rsidP="00396AF3">
            <w:pPr>
              <w:pStyle w:val="ListParagraph"/>
              <w:numPr>
                <w:ilvl w:val="0"/>
                <w:numId w:val="43"/>
              </w:numPr>
              <w:spacing w:after="0" w:line="259" w:lineRule="auto"/>
              <w:jc w:val="left"/>
              <w:rPr>
                <w:szCs w:val="20"/>
              </w:rPr>
            </w:pPr>
            <w:r w:rsidRPr="00C032F8">
              <w:rPr>
                <w:szCs w:val="20"/>
              </w:rPr>
              <w:t>When UL HARQ feedback is transmitted on unlicensed band, NR-U considers mechanisms to support flexible triggering and multiplexing of HARQ feedback for one or more DL HARQ processes</w:t>
            </w:r>
          </w:p>
          <w:p w14:paraId="68092AEA" w14:textId="77777777" w:rsidR="00396AF3" w:rsidRDefault="00396AF3" w:rsidP="00396AF3">
            <w:pPr>
              <w:rPr>
                <w:lang w:eastAsia="x-none"/>
              </w:rPr>
            </w:pPr>
          </w:p>
          <w:p w14:paraId="42C043B3" w14:textId="77777777" w:rsidR="00396AF3" w:rsidRPr="00ED02EE" w:rsidRDefault="00396AF3" w:rsidP="00396AF3">
            <w:pPr>
              <w:spacing w:line="259" w:lineRule="auto"/>
            </w:pPr>
            <w:r w:rsidRPr="00876D16">
              <w:rPr>
                <w:highlight w:val="green"/>
              </w:rPr>
              <w:t>Agreement:</w:t>
            </w:r>
          </w:p>
          <w:p w14:paraId="64F20B0F" w14:textId="77777777" w:rsidR="00396AF3" w:rsidRPr="00ED02EE" w:rsidRDefault="00396AF3" w:rsidP="00396AF3">
            <w:pPr>
              <w:pStyle w:val="ListParagraph"/>
              <w:numPr>
                <w:ilvl w:val="0"/>
                <w:numId w:val="43"/>
              </w:numPr>
              <w:spacing w:after="0" w:line="259" w:lineRule="auto"/>
              <w:jc w:val="left"/>
              <w:rPr>
                <w:szCs w:val="20"/>
              </w:rPr>
            </w:pPr>
            <w:r w:rsidRPr="00ED02EE">
              <w:rPr>
                <w:szCs w:val="20"/>
              </w:rPr>
              <w:t xml:space="preserve">Scheduling multiple TTIs for PUSCH each using a separate UL grant in the same PDCCH monitoring occasion is identified as beneficial </w:t>
            </w:r>
          </w:p>
          <w:p w14:paraId="349F20E8" w14:textId="77777777" w:rsidR="00396AF3" w:rsidRPr="00ED02EE" w:rsidRDefault="00396AF3" w:rsidP="00396AF3">
            <w:pPr>
              <w:pStyle w:val="ListParagraph"/>
              <w:numPr>
                <w:ilvl w:val="0"/>
                <w:numId w:val="43"/>
              </w:numPr>
              <w:spacing w:after="0" w:line="259" w:lineRule="auto"/>
              <w:jc w:val="left"/>
              <w:rPr>
                <w:szCs w:val="20"/>
              </w:rPr>
            </w:pPr>
            <w:r w:rsidRPr="00ED02EE">
              <w:rPr>
                <w:szCs w:val="20"/>
              </w:rPr>
              <w:t>Scheduling multiple TTIs for PUSCH using a single UL grant is identified as beneficial and should be supported in NR-U</w:t>
            </w:r>
          </w:p>
          <w:p w14:paraId="74E90506" w14:textId="77777777" w:rsidR="00396AF3" w:rsidRPr="00396AF3" w:rsidRDefault="00396AF3" w:rsidP="00396AF3">
            <w:pPr>
              <w:widowControl w:val="0"/>
            </w:pPr>
          </w:p>
        </w:tc>
      </w:tr>
    </w:tbl>
    <w:p w14:paraId="743AAE89" w14:textId="77777777" w:rsidR="00F80923" w:rsidRPr="00396AF3" w:rsidRDefault="00F80923" w:rsidP="00396B04"/>
    <w:p w14:paraId="0A46C34C" w14:textId="41288BEE" w:rsidR="00F80923" w:rsidRDefault="00AF76E1" w:rsidP="00396B04">
      <w:r>
        <w:t>In this contribution, the following potential enhancements to scheduling and HARQ are discussed:</w:t>
      </w:r>
    </w:p>
    <w:p w14:paraId="4B8CEFD1" w14:textId="0FC9FEB0" w:rsidR="00AF76E1" w:rsidRDefault="001E0915" w:rsidP="00AF76E1">
      <w:pPr>
        <w:pStyle w:val="ListParagraph"/>
        <w:numPr>
          <w:ilvl w:val="0"/>
          <w:numId w:val="44"/>
        </w:numPr>
      </w:pPr>
      <w:r>
        <w:t>D</w:t>
      </w:r>
      <w:r w:rsidR="00AF76E1">
        <w:t>esign consideration for multi</w:t>
      </w:r>
      <w:r>
        <w:t>-TTI scheduling</w:t>
      </w:r>
      <w:r w:rsidR="00283CAB">
        <w:t xml:space="preserve"> DCI</w:t>
      </w:r>
      <w:r>
        <w:t>.</w:t>
      </w:r>
      <w:r w:rsidR="00283CAB">
        <w:t xml:space="preserve"> </w:t>
      </w:r>
      <w:r>
        <w:t xml:space="preserve"> </w:t>
      </w:r>
    </w:p>
    <w:p w14:paraId="533C63E7" w14:textId="6FE4608C" w:rsidR="00283CAB" w:rsidRDefault="000B1263" w:rsidP="00AF76E1">
      <w:pPr>
        <w:pStyle w:val="ListParagraph"/>
        <w:numPr>
          <w:ilvl w:val="0"/>
          <w:numId w:val="44"/>
        </w:numPr>
      </w:pPr>
      <w:r>
        <w:t>Provisioning of supplemental HARQ ACK feedback transmission opportunities</w:t>
      </w:r>
      <w:r w:rsidR="007B7924">
        <w:t xml:space="preserve"> in UL</w:t>
      </w:r>
      <w:r>
        <w:t xml:space="preserve">. </w:t>
      </w:r>
    </w:p>
    <w:p w14:paraId="6A0B4654" w14:textId="3BDECBDA" w:rsidR="000B1263" w:rsidRDefault="000B1263" w:rsidP="007B7924">
      <w:pPr>
        <w:pStyle w:val="ListParagraph"/>
        <w:numPr>
          <w:ilvl w:val="0"/>
          <w:numId w:val="44"/>
        </w:numPr>
      </w:pPr>
      <w:r>
        <w:t xml:space="preserve">Timing relationship between PDSCH and the </w:t>
      </w:r>
      <w:r w:rsidR="007B7924">
        <w:t>corresponding HARQ-ACK feedback and the HARQ ACK codebook.</w:t>
      </w:r>
    </w:p>
    <w:p w14:paraId="63777058" w14:textId="10163300" w:rsidR="00A078FA" w:rsidRDefault="00A078FA" w:rsidP="00A078FA">
      <w:pPr>
        <w:pStyle w:val="Heading1"/>
        <w:keepNext w:val="0"/>
        <w:widowControl w:val="0"/>
        <w:spacing w:before="480" w:after="120"/>
        <w:ind w:left="518" w:hanging="518"/>
      </w:pPr>
      <w:r>
        <w:rPr>
          <w:sz w:val="28"/>
        </w:rPr>
        <w:t xml:space="preserve">DCI design for multi-TTI scheduling </w:t>
      </w:r>
    </w:p>
    <w:p w14:paraId="28E5A8AB" w14:textId="6CEFAFD6" w:rsidR="007B7924" w:rsidRDefault="004066BB" w:rsidP="00A078FA">
      <w:r>
        <w:t>The figure below illustrates an example of multi-TTI scheduling.</w:t>
      </w:r>
      <w:r w:rsidR="008C5122">
        <w:t xml:space="preserve"> To begin with</w:t>
      </w:r>
      <w:r w:rsidR="0073371D">
        <w:t>,</w:t>
      </w:r>
      <w:r w:rsidR="008C5122">
        <w:t xml:space="preserve"> certain restrictions on multi-TTI scheduling can be considered to simplify the design while achieving the most benefit out of it. For instance, the set of multi-TTIs that can be scheduled with one DCI can be restricted to only consecutive ones. By doing so, the signalling on the set of scheduled TTI could be simply done via the number of scheduled TTIs. Otherwise, if scheduling non-consecutive TTIs is supported, it would require </w:t>
      </w:r>
      <w:r w:rsidR="00425062">
        <w:t xml:space="preserve">a </w:t>
      </w:r>
      <w:r w:rsidR="008C5122">
        <w:t>bitmap based signalling</w:t>
      </w:r>
      <w:r w:rsidR="00425062">
        <w:t xml:space="preserve">, </w:t>
      </w:r>
      <w:r w:rsidR="008C5122">
        <w:t>which incurs more signalling overhead while the benefit is unclear.</w:t>
      </w:r>
    </w:p>
    <w:p w14:paraId="65359C42" w14:textId="77777777" w:rsidR="004066BB" w:rsidRDefault="004066BB" w:rsidP="004066BB">
      <w:pPr>
        <w:jc w:val="center"/>
      </w:pPr>
      <w:r w:rsidRPr="001E22A9">
        <w:rPr>
          <w:noProof/>
          <w:lang w:val="en-US" w:eastAsia="ko-KR"/>
        </w:rPr>
        <w:lastRenderedPageBreak/>
        <w:drawing>
          <wp:inline distT="0" distB="0" distL="0" distR="0" wp14:anchorId="4738299E" wp14:editId="50A15FB9">
            <wp:extent cx="4395688" cy="732337"/>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4417794" cy="736020"/>
                    </a:xfrm>
                    <a:prstGeom prst="rect">
                      <a:avLst/>
                    </a:prstGeom>
                  </pic:spPr>
                </pic:pic>
              </a:graphicData>
            </a:graphic>
          </wp:inline>
        </w:drawing>
      </w:r>
    </w:p>
    <w:p w14:paraId="54B88E4E" w14:textId="472E1481" w:rsidR="004066BB" w:rsidRPr="003E4348" w:rsidRDefault="004066BB" w:rsidP="004066BB">
      <w:pPr>
        <w:spacing w:before="240"/>
        <w:jc w:val="center"/>
        <w:rPr>
          <w:b/>
        </w:rPr>
      </w:pPr>
      <w:r w:rsidRPr="003E4348">
        <w:rPr>
          <w:b/>
        </w:rPr>
        <w:t xml:space="preserve">Figure 1. </w:t>
      </w:r>
      <w:r w:rsidR="00430E96" w:rsidRPr="003E4348">
        <w:rPr>
          <w:b/>
        </w:rPr>
        <w:t>An example of multi-TTI scheduling</w:t>
      </w:r>
    </w:p>
    <w:p w14:paraId="0D847DD8" w14:textId="77777777" w:rsidR="007B7924" w:rsidRDefault="007B7924" w:rsidP="007B7924"/>
    <w:p w14:paraId="4DD56331" w14:textId="05AAF293" w:rsidR="00430E96" w:rsidRPr="00F53FBD" w:rsidRDefault="00F53FBD" w:rsidP="00F53FBD">
      <w:pPr>
        <w:spacing w:before="240" w:after="240"/>
        <w:rPr>
          <w:b/>
          <w:szCs w:val="20"/>
          <w:lang w:val="en-US"/>
        </w:rPr>
      </w:pPr>
      <w:r>
        <w:rPr>
          <w:b/>
          <w:szCs w:val="20"/>
          <w:lang w:val="en-US"/>
        </w:rPr>
        <w:t xml:space="preserve">Proposal X: The multi-TTI scheduling by single DCI is restricted to only a set of consecutive TTIs. </w:t>
      </w:r>
    </w:p>
    <w:p w14:paraId="3E39505D" w14:textId="7DC34B15" w:rsidR="00C80E9E" w:rsidRDefault="00C80E9E" w:rsidP="007B7924">
      <w:r>
        <w:t>Regarding the DCI design, the following aspects could be considered:</w:t>
      </w:r>
    </w:p>
    <w:p w14:paraId="1241B4D7" w14:textId="05BE87EE" w:rsidR="00C80E9E" w:rsidRDefault="00AE176D" w:rsidP="00AE176D">
      <w:pPr>
        <w:pStyle w:val="ListParagraph"/>
        <w:numPr>
          <w:ilvl w:val="0"/>
          <w:numId w:val="45"/>
        </w:numPr>
      </w:pPr>
      <w:r>
        <w:t xml:space="preserve">DCI design can be made </w:t>
      </w:r>
      <w:r w:rsidR="00425062">
        <w:t xml:space="preserve">more </w:t>
      </w:r>
      <w:r>
        <w:t xml:space="preserve">efficient by avoiding duplicate signalling for information that can be commonly </w:t>
      </w:r>
      <w:r w:rsidR="0073371D">
        <w:t>appl</w:t>
      </w:r>
      <w:r w:rsidR="00795620">
        <w:t>icable</w:t>
      </w:r>
      <w:r w:rsidR="0073371D">
        <w:t xml:space="preserve"> </w:t>
      </w:r>
      <w:r>
        <w:t xml:space="preserve">to multiple scheduled TTIs. Such information includes CIF, BWP indicator, frequency/time domain RA, MCS, VRB-to-PRB mapping, frequency hopping flag, MIMO </w:t>
      </w:r>
      <w:r w:rsidR="00795620">
        <w:t xml:space="preserve">related </w:t>
      </w:r>
      <w:r>
        <w:t>parameters such as precoding information</w:t>
      </w:r>
      <w:r w:rsidR="00425062">
        <w:t>,</w:t>
      </w:r>
      <w:r>
        <w:t xml:space="preserve"> number of layers, and antenna ports. Some of these information would not be needed to be signalled if resource allocation type 1 is not used for NR-unlicensed. As another parameter, CBG transmission information may be signalled once</w:t>
      </w:r>
      <w:r w:rsidR="00425062">
        <w:t xml:space="preserve">, </w:t>
      </w:r>
      <w:r>
        <w:t>and assumed to be equally applied to multiple TTIs.</w:t>
      </w:r>
    </w:p>
    <w:p w14:paraId="252F70DD" w14:textId="16C81B97" w:rsidR="00AE176D" w:rsidRDefault="00AE176D" w:rsidP="00AE176D">
      <w:pPr>
        <w:pStyle w:val="ListParagraph"/>
        <w:numPr>
          <w:ilvl w:val="0"/>
          <w:numId w:val="45"/>
        </w:numPr>
      </w:pPr>
      <w:r>
        <w:t>There are parameters that need to be applied only once over consecutively scheduled slots</w:t>
      </w:r>
      <w:r w:rsidR="00425062">
        <w:t xml:space="preserve">, </w:t>
      </w:r>
      <w:r>
        <w:t xml:space="preserve">and, thus, no need to be signalled multiple times including TPC, SRS request, CSI request, DMRS sequence initialization, and LBT related parameters such as </w:t>
      </w:r>
      <w:r w:rsidR="00425062">
        <w:t xml:space="preserve">the LBT </w:t>
      </w:r>
      <w:r>
        <w:t>type and priority class. There are also parameters that can be signalled only for the first TTI</w:t>
      </w:r>
      <w:r w:rsidR="00425062">
        <w:t xml:space="preserve">, </w:t>
      </w:r>
      <w:r>
        <w:t>and the parameters for the following TTIs are derived according to some pre-defined rule. For instance the HARQ process ID for the first TTI is signalled and the HARQ process ID for the following TTIs can be chosen in a successive manner.</w:t>
      </w:r>
    </w:p>
    <w:p w14:paraId="6438A3AD" w14:textId="7A4ADBD9" w:rsidR="0028282B" w:rsidRDefault="0028282B" w:rsidP="0028282B">
      <w:pPr>
        <w:pStyle w:val="ListParagraph"/>
        <w:numPr>
          <w:ilvl w:val="0"/>
          <w:numId w:val="45"/>
        </w:numPr>
      </w:pPr>
      <w:r>
        <w:t>Some information need to be separately signalled for multiple TTIs such as NDI, RV. Some other information need to be revisited</w:t>
      </w:r>
      <w:r w:rsidR="00795620">
        <w:t>,</w:t>
      </w:r>
      <w:r>
        <w:t xml:space="preserve"> if needed</w:t>
      </w:r>
      <w:r w:rsidR="00795620">
        <w:t>,</w:t>
      </w:r>
      <w:r>
        <w:t xml:space="preserve"> for unlicensed use case such as UL/SUL indicator.</w:t>
      </w:r>
    </w:p>
    <w:p w14:paraId="0A28B105" w14:textId="40C7D722" w:rsidR="00F53FBD" w:rsidRPr="00F53FBD" w:rsidRDefault="00F53FBD" w:rsidP="00F53FBD">
      <w:pPr>
        <w:spacing w:before="240" w:after="240"/>
        <w:rPr>
          <w:b/>
          <w:szCs w:val="20"/>
          <w:lang w:val="en-US"/>
        </w:rPr>
      </w:pPr>
      <w:r>
        <w:rPr>
          <w:b/>
          <w:szCs w:val="20"/>
          <w:lang w:val="en-US"/>
        </w:rPr>
        <w:t xml:space="preserve">Proposal </w:t>
      </w:r>
      <w:r w:rsidR="00425062">
        <w:rPr>
          <w:b/>
          <w:szCs w:val="20"/>
          <w:lang w:val="en-US"/>
        </w:rPr>
        <w:t>1</w:t>
      </w:r>
      <w:r>
        <w:rPr>
          <w:b/>
          <w:szCs w:val="20"/>
          <w:lang w:val="en-US"/>
        </w:rPr>
        <w:t xml:space="preserve">: </w:t>
      </w:r>
      <w:r w:rsidR="00425062">
        <w:rPr>
          <w:b/>
          <w:szCs w:val="20"/>
          <w:lang w:val="en-US"/>
        </w:rPr>
        <w:t>In order to reduce overhead,</w:t>
      </w:r>
      <w:r w:rsidR="00467E11">
        <w:rPr>
          <w:b/>
          <w:szCs w:val="20"/>
          <w:lang w:val="en-US"/>
        </w:rPr>
        <w:t xml:space="preserve"> </w:t>
      </w:r>
      <w:r w:rsidR="00425062">
        <w:rPr>
          <w:b/>
          <w:szCs w:val="20"/>
          <w:lang w:val="en-US"/>
        </w:rPr>
        <w:t>t</w:t>
      </w:r>
      <w:r>
        <w:rPr>
          <w:b/>
          <w:szCs w:val="20"/>
          <w:lang w:val="en-US"/>
        </w:rPr>
        <w:t xml:space="preserve">he DCI design for multi-TTI scheduling should avoid duplicated signaling that can be commonly applicable to the set of scheduled TTIs. </w:t>
      </w:r>
    </w:p>
    <w:p w14:paraId="0898D377" w14:textId="61ED8269" w:rsidR="003E4348" w:rsidRPr="00D92872" w:rsidRDefault="0028282B" w:rsidP="0028282B">
      <w:pPr>
        <w:pStyle w:val="Heading1"/>
        <w:keepNext w:val="0"/>
        <w:widowControl w:val="0"/>
        <w:spacing w:before="480" w:after="120"/>
        <w:ind w:left="518" w:hanging="518"/>
        <w:jc w:val="left"/>
        <w:rPr>
          <w:sz w:val="28"/>
        </w:rPr>
      </w:pPr>
      <w:r w:rsidRPr="0028282B">
        <w:rPr>
          <w:sz w:val="28"/>
        </w:rPr>
        <w:t>Supplemental HARQ ACK feedback transmission opportunities</w:t>
      </w:r>
    </w:p>
    <w:p w14:paraId="2654EBC5" w14:textId="0CE6889F" w:rsidR="003E4348" w:rsidRPr="003E4348" w:rsidRDefault="00D92872" w:rsidP="003E4348">
      <w:pPr>
        <w:rPr>
          <w:lang w:val="en-US"/>
        </w:rPr>
      </w:pPr>
      <w:r>
        <w:rPr>
          <w:lang w:val="en-US"/>
        </w:rPr>
        <w:t>As agreed in an earlier meeting</w:t>
      </w:r>
      <w:r w:rsidR="00A570D9">
        <w:rPr>
          <w:lang w:val="en-US"/>
        </w:rPr>
        <w:t xml:space="preserve"> [2]</w:t>
      </w:r>
      <w:r>
        <w:rPr>
          <w:lang w:val="en-US"/>
        </w:rPr>
        <w:t xml:space="preserve">, it is possible to configure </w:t>
      </w:r>
      <w:r w:rsidR="003E4348" w:rsidRPr="003E4348">
        <w:rPr>
          <w:lang w:val="en-US"/>
        </w:rPr>
        <w:t xml:space="preserve">CBW or the bandwidth of a bandwidth part (BWP) to be an integer multiple of </w:t>
      </w:r>
      <w:r w:rsidR="00F72237">
        <w:rPr>
          <w:lang w:val="en-US"/>
        </w:rPr>
        <w:t>20 MHz unit LBT BW</w:t>
      </w:r>
      <w:r w:rsidR="003E4348" w:rsidRPr="003E4348">
        <w:rPr>
          <w:lang w:val="en-US"/>
        </w:rPr>
        <w:t xml:space="preserve">, while aligning the boundary of the channel (or BWP) </w:t>
      </w:r>
      <w:r w:rsidR="00DB37D2">
        <w:rPr>
          <w:lang w:val="en-US"/>
        </w:rPr>
        <w:t>with the existing unlicensed band channelization for fair coexistence</w:t>
      </w:r>
      <w:r w:rsidR="003E4348" w:rsidRPr="003E4348">
        <w:rPr>
          <w:lang w:val="en-US"/>
        </w:rPr>
        <w:t xml:space="preserve">.  </w:t>
      </w:r>
    </w:p>
    <w:p w14:paraId="22E5AD2D" w14:textId="77777777" w:rsidR="003E4348" w:rsidRPr="003E4348" w:rsidRDefault="003E4348" w:rsidP="003E4348">
      <w:pPr>
        <w:rPr>
          <w:lang w:val="en-US"/>
        </w:rPr>
      </w:pPr>
    </w:p>
    <w:p w14:paraId="60314B32" w14:textId="77777777" w:rsidR="003E4348" w:rsidRPr="003E4348" w:rsidRDefault="003E4348" w:rsidP="00C265A5">
      <w:pPr>
        <w:jc w:val="center"/>
        <w:rPr>
          <w:lang w:val="en-US"/>
        </w:rPr>
      </w:pPr>
      <w:r w:rsidRPr="003E4348">
        <w:rPr>
          <w:noProof/>
          <w:lang w:val="en-US" w:eastAsia="ko-KR"/>
        </w:rPr>
        <w:drawing>
          <wp:inline distT="0" distB="0" distL="0" distR="0" wp14:anchorId="5A9324FE" wp14:editId="59FF1ABC">
            <wp:extent cx="1687227" cy="1636034"/>
            <wp:effectExtent l="0" t="0" r="0" b="254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738686" cy="1685931"/>
                    </a:xfrm>
                    <a:prstGeom prst="rect">
                      <a:avLst/>
                    </a:prstGeom>
                  </pic:spPr>
                </pic:pic>
              </a:graphicData>
            </a:graphic>
          </wp:inline>
        </w:drawing>
      </w:r>
    </w:p>
    <w:p w14:paraId="70C6A22B" w14:textId="7E64FB84" w:rsidR="003E4348" w:rsidRPr="003E4348" w:rsidRDefault="003E4348" w:rsidP="003E4348">
      <w:pPr>
        <w:spacing w:before="240"/>
        <w:jc w:val="center"/>
        <w:rPr>
          <w:b/>
        </w:rPr>
      </w:pPr>
      <w:r w:rsidRPr="003E4348">
        <w:rPr>
          <w:b/>
        </w:rPr>
        <w:t>Figure 1. An example</w:t>
      </w:r>
      <w:r w:rsidR="00C265A5">
        <w:rPr>
          <w:b/>
        </w:rPr>
        <w:t xml:space="preserve"> configuration of NR channel/BWP for unlicensed band operation</w:t>
      </w:r>
    </w:p>
    <w:p w14:paraId="69F52810" w14:textId="77777777" w:rsidR="003E4348" w:rsidRPr="003E4348" w:rsidRDefault="003E4348" w:rsidP="0028282B"/>
    <w:p w14:paraId="73A075F7" w14:textId="0E2B9291" w:rsidR="00DB37D2" w:rsidRDefault="00DB37D2" w:rsidP="00DB37D2">
      <w:r>
        <w:t>If LBT fails on 20 MHz bandwidth</w:t>
      </w:r>
      <w:r w:rsidR="00425062">
        <w:t xml:space="preserve">, </w:t>
      </w:r>
      <w:r>
        <w:t xml:space="preserve">which contains the configured PUCCH resource for HARQ ACK feedback, the feedback would have to be delayed to the next opportunity, which will incur latency in finishing the successful reception of the impacted HARQ processes. </w:t>
      </w:r>
    </w:p>
    <w:p w14:paraId="7900B66A" w14:textId="08795F36" w:rsidR="00F80923" w:rsidRDefault="00DB37D2" w:rsidP="00396B04">
      <w:r>
        <w:lastRenderedPageBreak/>
        <w:t>In order to cope with LBT failure, it is proposed that secondary PUCCH resource(s) can be configured in different 20 MHz bandwidth than the one that the first PUCCH resource is configured. In the case of LBT failure on the 20 MHz bandwidth that contains the first PUCCH resource, the HARQ ACK feedback can be sent on the secondary PUCCH resource as a contingency path. In the case when LBT succeeds for the first PUCCH resource, the secondary PUCCH resource would not be used.</w:t>
      </w:r>
      <w:r w:rsidR="00CC58D1">
        <w:t xml:space="preserve"> Similarly, the secondary PUCCH resource concept can be applied in time domain.</w:t>
      </w:r>
    </w:p>
    <w:p w14:paraId="65BAEBE7" w14:textId="163D8570" w:rsidR="00F53FBD" w:rsidRDefault="00F53FBD" w:rsidP="00F53FBD">
      <w:pPr>
        <w:spacing w:before="240" w:after="240"/>
        <w:rPr>
          <w:b/>
          <w:szCs w:val="20"/>
          <w:lang w:val="en-US"/>
        </w:rPr>
      </w:pPr>
      <w:r>
        <w:rPr>
          <w:b/>
          <w:szCs w:val="20"/>
          <w:lang w:val="en-US"/>
        </w:rPr>
        <w:t xml:space="preserve">Proposal </w:t>
      </w:r>
      <w:r w:rsidR="00425062">
        <w:rPr>
          <w:b/>
          <w:szCs w:val="20"/>
          <w:lang w:val="en-US"/>
        </w:rPr>
        <w:t>2</w:t>
      </w:r>
      <w:r>
        <w:rPr>
          <w:b/>
          <w:szCs w:val="20"/>
          <w:lang w:val="en-US"/>
        </w:rPr>
        <w:t>: Configuring secondary PUCCH reso</w:t>
      </w:r>
      <w:r w:rsidR="00F17668">
        <w:rPr>
          <w:b/>
          <w:szCs w:val="20"/>
          <w:lang w:val="en-US"/>
        </w:rPr>
        <w:t>urce in frequency</w:t>
      </w:r>
      <w:r w:rsidR="00CC58D1">
        <w:rPr>
          <w:b/>
          <w:szCs w:val="20"/>
          <w:lang w:val="en-US"/>
        </w:rPr>
        <w:t xml:space="preserve"> and/or time</w:t>
      </w:r>
      <w:r w:rsidR="00F17668">
        <w:rPr>
          <w:b/>
          <w:szCs w:val="20"/>
          <w:lang w:val="en-US"/>
        </w:rPr>
        <w:t xml:space="preserve"> is supported, which is opportunistically utilized by UE when the LBT for the first PUCCH resource fails. </w:t>
      </w:r>
      <w:r>
        <w:rPr>
          <w:b/>
          <w:szCs w:val="20"/>
          <w:lang w:val="en-US"/>
        </w:rPr>
        <w:t xml:space="preserve"> </w:t>
      </w:r>
    </w:p>
    <w:p w14:paraId="4D3E5273" w14:textId="77777777" w:rsidR="00CC58D1" w:rsidRPr="00F53FBD" w:rsidRDefault="00CC58D1" w:rsidP="00F53FBD">
      <w:pPr>
        <w:spacing w:before="240" w:after="240"/>
        <w:rPr>
          <w:b/>
          <w:szCs w:val="20"/>
          <w:lang w:val="en-US"/>
        </w:rPr>
      </w:pPr>
    </w:p>
    <w:p w14:paraId="1729F230" w14:textId="45211B77" w:rsidR="00B530F8" w:rsidRPr="00327510" w:rsidRDefault="00512B70" w:rsidP="00B530F8">
      <w:pPr>
        <w:pStyle w:val="Heading1"/>
        <w:keepNext w:val="0"/>
        <w:widowControl w:val="0"/>
        <w:spacing w:before="480" w:after="120"/>
        <w:ind w:left="518" w:hanging="518"/>
        <w:rPr>
          <w:sz w:val="28"/>
        </w:rPr>
      </w:pPr>
      <w:r>
        <w:rPr>
          <w:sz w:val="28"/>
        </w:rPr>
        <w:t>DL HARQ ACK feedback enhancement</w:t>
      </w:r>
    </w:p>
    <w:p w14:paraId="099AC906" w14:textId="5961D470" w:rsidR="00C442C3" w:rsidRDefault="00C442C3" w:rsidP="00C442C3">
      <w:r>
        <w:t>Reliable and efficient HARQ-ACK feedback transmission becomes more of an important issue when it comes to standalone mode, which is not backed by licensed carrier. In the sequel, it is assumed that DL HARQ-ACK is transmitted over unlicensed spectrum, which could be the case for LAA deployment as well, if PUCCH is supported on an unlicensed cell. One of the main problem</w:t>
      </w:r>
      <w:r w:rsidR="00F544A3">
        <w:t>s</w:t>
      </w:r>
      <w:r>
        <w:t xml:space="preserve"> of sending DL HARQ-ACK is the unpredictability of UL transmission opportunity in time due to LBT. </w:t>
      </w:r>
    </w:p>
    <w:p w14:paraId="121EB151" w14:textId="70E21C94" w:rsidR="00C442C3" w:rsidRDefault="00C442C3" w:rsidP="00C442C3">
      <w:pPr>
        <w:rPr>
          <w:lang w:val="en-US"/>
        </w:rPr>
      </w:pPr>
      <w:r>
        <w:t xml:space="preserve">Note that </w:t>
      </w:r>
      <w:r>
        <w:rPr>
          <w:lang w:val="en-US"/>
        </w:rPr>
        <w:t xml:space="preserve">Release </w:t>
      </w:r>
      <w:r w:rsidRPr="00872F8D">
        <w:rPr>
          <w:lang w:val="en-US"/>
        </w:rPr>
        <w:t>15 NR indicates K0/K1/K2 in the DCI.</w:t>
      </w:r>
      <w:r>
        <w:rPr>
          <w:lang w:val="en-US"/>
        </w:rPr>
        <w:t xml:space="preserve"> K1 is the t</w:t>
      </w:r>
      <w:r w:rsidRPr="00872F8D">
        <w:rPr>
          <w:lang w:val="en-US"/>
        </w:rPr>
        <w:t>iming between PDSCH and the corresponding HARQ-ACK</w:t>
      </w:r>
      <w:r>
        <w:rPr>
          <w:lang w:val="en-US"/>
        </w:rPr>
        <w:t xml:space="preserve">. </w:t>
      </w:r>
      <w:r w:rsidRPr="00872F8D">
        <w:rPr>
          <w:lang w:val="en-US"/>
        </w:rPr>
        <w:t>K1 in the DCI can be semi-statically configured and can have zero bit in the DCI, meaning fixed timing relationship, or can have non-zero bits in the DCI, meaning dynamic indication</w:t>
      </w:r>
      <w:r>
        <w:rPr>
          <w:lang w:val="en-US"/>
        </w:rPr>
        <w:t xml:space="preserve"> using the bits</w:t>
      </w:r>
      <w:r w:rsidRPr="00872F8D">
        <w:rPr>
          <w:lang w:val="en-US"/>
        </w:rPr>
        <w:t>.</w:t>
      </w:r>
      <w:r>
        <w:rPr>
          <w:lang w:val="en-US"/>
        </w:rPr>
        <w:t xml:space="preserve"> </w:t>
      </w:r>
      <w:r w:rsidRPr="00CD72EA">
        <w:rPr>
          <w:lang w:val="en-US"/>
        </w:rPr>
        <w:t>However, in unlicensed operation, the available feedback timing over UL is not guaranteed at the time of DL scheduling.</w:t>
      </w:r>
      <w:r w:rsidR="00370AF8">
        <w:rPr>
          <w:lang w:val="en-US"/>
        </w:rPr>
        <w:t xml:space="preserve"> Instead, it may be beneficial to consider </w:t>
      </w:r>
      <w:r w:rsidR="00E55DE5">
        <w:rPr>
          <w:lang w:val="en-US"/>
        </w:rPr>
        <w:t>HARQ ACK feedback triggering mechanism as captured in the agreement in the previous meeting</w:t>
      </w:r>
      <w:r w:rsidR="00F544A3">
        <w:rPr>
          <w:lang w:val="en-US"/>
        </w:rPr>
        <w:t xml:space="preserve"> [1]</w:t>
      </w:r>
      <w:r w:rsidR="00E55DE5">
        <w:rPr>
          <w:lang w:val="en-US"/>
        </w:rPr>
        <w:t>. Under the triggering based mechanism, all the pending HARQ ACK feedbacks</w:t>
      </w:r>
      <w:r w:rsidR="00EE362D">
        <w:rPr>
          <w:lang w:val="en-US"/>
        </w:rPr>
        <w:t xml:space="preserve"> for processes that meet the processing time requirement</w:t>
      </w:r>
      <w:r w:rsidR="00E55DE5">
        <w:rPr>
          <w:lang w:val="en-US"/>
        </w:rPr>
        <w:t xml:space="preserve"> can be sent in the </w:t>
      </w:r>
      <w:r w:rsidR="00EE362D">
        <w:rPr>
          <w:lang w:val="en-US"/>
        </w:rPr>
        <w:t xml:space="preserve">signaled resource. </w:t>
      </w:r>
    </w:p>
    <w:p w14:paraId="3E852480" w14:textId="5134DB2D" w:rsidR="00C442C3" w:rsidRDefault="00C442C3" w:rsidP="00C442C3">
      <w:pPr>
        <w:spacing w:before="240" w:after="240"/>
        <w:rPr>
          <w:b/>
          <w:szCs w:val="20"/>
          <w:lang w:val="en-US"/>
        </w:rPr>
      </w:pPr>
      <w:r>
        <w:rPr>
          <w:b/>
          <w:szCs w:val="20"/>
          <w:lang w:val="en-US"/>
        </w:rPr>
        <w:t xml:space="preserve">Observation </w:t>
      </w:r>
      <w:r w:rsidR="00425062">
        <w:rPr>
          <w:b/>
          <w:szCs w:val="20"/>
          <w:lang w:val="en-US"/>
        </w:rPr>
        <w:t>1</w:t>
      </w:r>
      <w:r w:rsidRPr="00BF4801">
        <w:rPr>
          <w:b/>
          <w:szCs w:val="20"/>
          <w:lang w:val="en-US"/>
        </w:rPr>
        <w:t>:</w:t>
      </w:r>
      <w:r>
        <w:rPr>
          <w:b/>
          <w:szCs w:val="20"/>
          <w:lang w:val="en-US"/>
        </w:rPr>
        <w:t xml:space="preserve"> I</w:t>
      </w:r>
      <w:r w:rsidRPr="00CD72EA">
        <w:rPr>
          <w:b/>
          <w:szCs w:val="20"/>
          <w:lang w:val="en-US"/>
        </w:rPr>
        <w:t>n unlicensed operation, the available feedback timing over UL is not guaranteed at the time of DL scheduling.</w:t>
      </w:r>
      <w:r>
        <w:rPr>
          <w:b/>
          <w:szCs w:val="20"/>
          <w:lang w:val="en-US"/>
        </w:rPr>
        <w:t xml:space="preserve"> Therefore, indicating K1 value in the scheduling DCI may not be efficient and work as desired in the unlicensed spectrum.</w:t>
      </w:r>
    </w:p>
    <w:p w14:paraId="48CD2347" w14:textId="26DAA357" w:rsidR="00EE362D" w:rsidRDefault="00EE362D" w:rsidP="00C442C3">
      <w:pPr>
        <w:spacing w:before="240" w:after="240"/>
        <w:rPr>
          <w:b/>
          <w:szCs w:val="20"/>
          <w:lang w:val="en-US"/>
        </w:rPr>
      </w:pPr>
      <w:r>
        <w:rPr>
          <w:b/>
          <w:szCs w:val="20"/>
          <w:lang w:val="en-US"/>
        </w:rPr>
        <w:t xml:space="preserve">Proposal </w:t>
      </w:r>
      <w:r w:rsidR="00425062">
        <w:rPr>
          <w:b/>
          <w:szCs w:val="20"/>
          <w:lang w:val="en-US"/>
        </w:rPr>
        <w:t>3</w:t>
      </w:r>
      <w:r>
        <w:rPr>
          <w:b/>
          <w:szCs w:val="20"/>
          <w:lang w:val="en-US"/>
        </w:rPr>
        <w:t xml:space="preserve">: </w:t>
      </w:r>
      <w:r w:rsidR="007C0C63">
        <w:rPr>
          <w:b/>
          <w:szCs w:val="20"/>
          <w:lang w:val="en-US"/>
        </w:rPr>
        <w:t>Triggering based HARQ</w:t>
      </w:r>
      <w:r w:rsidR="00F544A3">
        <w:rPr>
          <w:b/>
          <w:szCs w:val="20"/>
          <w:lang w:val="en-US"/>
        </w:rPr>
        <w:t>-</w:t>
      </w:r>
      <w:r w:rsidR="007C0C63">
        <w:rPr>
          <w:b/>
          <w:szCs w:val="20"/>
          <w:lang w:val="en-US"/>
        </w:rPr>
        <w:t>ACK feedback mechanism is introduced for NR-unlicensed in which all the pending HARQ</w:t>
      </w:r>
      <w:r w:rsidR="00F544A3">
        <w:rPr>
          <w:b/>
          <w:szCs w:val="20"/>
          <w:lang w:val="en-US"/>
        </w:rPr>
        <w:t>-</w:t>
      </w:r>
      <w:r w:rsidR="007C0C63">
        <w:rPr>
          <w:b/>
          <w:szCs w:val="20"/>
          <w:lang w:val="en-US"/>
        </w:rPr>
        <w:t xml:space="preserve">ACK feedback for processes that satisfy the processing time requirement can be sent in the signaled resource. </w:t>
      </w:r>
    </w:p>
    <w:p w14:paraId="092E32D7" w14:textId="2D055688" w:rsidR="007C0C63" w:rsidRPr="00D12C30" w:rsidRDefault="00D12C30" w:rsidP="00C442C3">
      <w:r>
        <w:rPr>
          <w:lang w:val="en-US"/>
        </w:rPr>
        <w:t xml:space="preserve">It was agreed that </w:t>
      </w:r>
      <w:r w:rsidRPr="00D12C30">
        <w:rPr>
          <w:lang w:val="en-US"/>
        </w:rPr>
        <w:t xml:space="preserve">NR HARQ feedback mechanisms </w:t>
      </w:r>
      <w:r w:rsidR="00F544A3">
        <w:rPr>
          <w:lang w:val="en-US"/>
        </w:rPr>
        <w:t xml:space="preserve">are </w:t>
      </w:r>
      <w:r>
        <w:rPr>
          <w:lang w:val="en-US"/>
        </w:rPr>
        <w:t>used for unlicensed operation as baseline</w:t>
      </w:r>
      <w:r w:rsidRPr="00D12C30">
        <w:rPr>
          <w:lang w:val="en-US"/>
        </w:rPr>
        <w:t xml:space="preserve"> and enhancements can be identified</w:t>
      </w:r>
      <w:r>
        <w:rPr>
          <w:lang w:val="en-US"/>
        </w:rPr>
        <w:t>. Regarding the HARQ</w:t>
      </w:r>
      <w:r w:rsidR="00F544A3">
        <w:rPr>
          <w:lang w:val="en-US"/>
        </w:rPr>
        <w:t>-</w:t>
      </w:r>
      <w:r>
        <w:rPr>
          <w:lang w:val="en-US"/>
        </w:rPr>
        <w:t xml:space="preserve">ACK feedback codebook determination, </w:t>
      </w:r>
      <w:r w:rsidR="00BC6B58">
        <w:rPr>
          <w:lang w:val="en-US"/>
        </w:rPr>
        <w:t>this implies that legacy dynamic codebook si</w:t>
      </w:r>
      <w:r w:rsidR="0001203B">
        <w:rPr>
          <w:lang w:val="en-US"/>
        </w:rPr>
        <w:t>z</w:t>
      </w:r>
      <w:r w:rsidR="00BC6B58">
        <w:rPr>
          <w:lang w:val="en-US"/>
        </w:rPr>
        <w:t xml:space="preserve">e determination based on the DAI will be used as baseline. In addition to the baseline approach, it can be further considered </w:t>
      </w:r>
      <w:r w:rsidR="0001203B">
        <w:rPr>
          <w:lang w:val="en-US"/>
        </w:rPr>
        <w:t xml:space="preserve">to cope with the nature of the unlicensed spectrum. That is, the transmissions in unlicensed carrier </w:t>
      </w:r>
      <w:r w:rsidR="00F544A3">
        <w:rPr>
          <w:lang w:val="en-US"/>
        </w:rPr>
        <w:t xml:space="preserve">are </w:t>
      </w:r>
      <w:r w:rsidR="0001203B">
        <w:rPr>
          <w:lang w:val="en-US"/>
        </w:rPr>
        <w:t>beneficial to occur in burst</w:t>
      </w:r>
      <w:r w:rsidR="00434F76">
        <w:rPr>
          <w:lang w:val="en-US"/>
        </w:rPr>
        <w:t xml:space="preserve"> due to LBT burden</w:t>
      </w:r>
      <w:r w:rsidR="000119CB">
        <w:rPr>
          <w:lang w:val="en-US"/>
        </w:rPr>
        <w:t>. However, as the unlicensed spectrum is shared with other network</w:t>
      </w:r>
      <w:r w:rsidR="00F544A3">
        <w:rPr>
          <w:lang w:val="en-US"/>
        </w:rPr>
        <w:t>(s)</w:t>
      </w:r>
      <w:r w:rsidR="000119CB">
        <w:rPr>
          <w:lang w:val="en-US"/>
        </w:rPr>
        <w:t>/system</w:t>
      </w:r>
      <w:r w:rsidR="00F544A3">
        <w:rPr>
          <w:lang w:val="en-US"/>
        </w:rPr>
        <w:t>(s)</w:t>
      </w:r>
      <w:r w:rsidR="000119CB">
        <w:rPr>
          <w:lang w:val="en-US"/>
        </w:rPr>
        <w:t xml:space="preserve">, collision could happen which may wipe out the entire burst. If the undetected </w:t>
      </w:r>
      <w:r w:rsidR="00EC075F">
        <w:rPr>
          <w:lang w:val="en-US"/>
        </w:rPr>
        <w:t xml:space="preserve">number of TTIs is more </w:t>
      </w:r>
      <w:r w:rsidR="00F52ABE">
        <w:rPr>
          <w:lang w:val="en-US"/>
        </w:rPr>
        <w:t>than</w:t>
      </w:r>
      <w:r w:rsidR="00EC075F">
        <w:rPr>
          <w:lang w:val="en-US"/>
        </w:rPr>
        <w:t xml:space="preserve"> what can be expressed via the DAI bits, the UE could not figure out the missed </w:t>
      </w:r>
      <w:r w:rsidR="00536DCF">
        <w:rPr>
          <w:lang w:val="en-US"/>
        </w:rPr>
        <w:t>burst of transmissions and misalignment on the HARQ</w:t>
      </w:r>
      <w:r w:rsidR="00F544A3">
        <w:rPr>
          <w:lang w:val="en-US"/>
        </w:rPr>
        <w:t>-</w:t>
      </w:r>
      <w:r w:rsidR="00536DCF">
        <w:rPr>
          <w:lang w:val="en-US"/>
        </w:rPr>
        <w:t>ACK codebook si</w:t>
      </w:r>
      <w:r w:rsidR="006D32C0">
        <w:rPr>
          <w:lang w:val="en-US"/>
        </w:rPr>
        <w:t>z</w:t>
      </w:r>
      <w:r w:rsidR="00536DCF">
        <w:rPr>
          <w:lang w:val="en-US"/>
        </w:rPr>
        <w:t xml:space="preserve">e between gNB and UE would occur. </w:t>
      </w:r>
      <w:r w:rsidR="00F52ABE">
        <w:rPr>
          <w:lang w:val="en-US"/>
        </w:rPr>
        <w:t xml:space="preserve">In such a case, fixed </w:t>
      </w:r>
      <w:r w:rsidR="00E5627B">
        <w:rPr>
          <w:lang w:val="en-US"/>
        </w:rPr>
        <w:t xml:space="preserve">codebook size, i.e., bitmap, could be more reliable while less efficient in terms of the </w:t>
      </w:r>
      <w:r w:rsidR="00301BBF">
        <w:rPr>
          <w:lang w:val="en-US"/>
        </w:rPr>
        <w:t>size of the codebook. On the other hand, if not all the HARQ processes are used due to, e.</w:t>
      </w:r>
      <w:r w:rsidR="001C638B">
        <w:rPr>
          <w:lang w:val="en-US"/>
        </w:rPr>
        <w:t>g., shorter processing time and not very bursty traffic, the number of actually used processes can be semi-statically configured</w:t>
      </w:r>
      <w:r w:rsidR="00CC58D1">
        <w:rPr>
          <w:lang w:val="en-US"/>
        </w:rPr>
        <w:t xml:space="preserve">, and consequently the HARQ ACK codebook size will be determined. </w:t>
      </w:r>
    </w:p>
    <w:p w14:paraId="768CEF9B" w14:textId="58401B91" w:rsidR="007C0C63" w:rsidRDefault="00B50B02" w:rsidP="00C73779">
      <w:pPr>
        <w:spacing w:before="240" w:after="240"/>
        <w:rPr>
          <w:lang w:val="en-US"/>
        </w:rPr>
      </w:pPr>
      <w:r>
        <w:rPr>
          <w:b/>
          <w:szCs w:val="20"/>
          <w:lang w:val="en-US"/>
        </w:rPr>
        <w:t xml:space="preserve">Proposal </w:t>
      </w:r>
      <w:r w:rsidR="00425062">
        <w:rPr>
          <w:b/>
          <w:szCs w:val="20"/>
          <w:lang w:val="en-US"/>
        </w:rPr>
        <w:t>4</w:t>
      </w:r>
      <w:r>
        <w:rPr>
          <w:b/>
          <w:szCs w:val="20"/>
          <w:lang w:val="en-US"/>
        </w:rPr>
        <w:t xml:space="preserve">: </w:t>
      </w:r>
      <w:r w:rsidR="00301BBF">
        <w:rPr>
          <w:b/>
          <w:szCs w:val="20"/>
          <w:lang w:val="en-US"/>
        </w:rPr>
        <w:t>In addition to the Rel-15 NR dynamic codebook size determination</w:t>
      </w:r>
      <w:r w:rsidR="00C73779">
        <w:rPr>
          <w:b/>
          <w:szCs w:val="20"/>
          <w:lang w:val="en-US"/>
        </w:rPr>
        <w:t xml:space="preserve"> for DL HARQ</w:t>
      </w:r>
      <w:r w:rsidR="00F544A3">
        <w:rPr>
          <w:b/>
          <w:szCs w:val="20"/>
          <w:lang w:val="en-US"/>
        </w:rPr>
        <w:t>-</w:t>
      </w:r>
      <w:r w:rsidR="00C73779">
        <w:rPr>
          <w:b/>
          <w:szCs w:val="20"/>
          <w:lang w:val="en-US"/>
        </w:rPr>
        <w:t>ACK feedback</w:t>
      </w:r>
      <w:r w:rsidR="00301BBF">
        <w:rPr>
          <w:b/>
          <w:szCs w:val="20"/>
          <w:lang w:val="en-US"/>
        </w:rPr>
        <w:t>,</w:t>
      </w:r>
      <w:r w:rsidR="001C638B">
        <w:rPr>
          <w:b/>
          <w:szCs w:val="20"/>
          <w:lang w:val="en-US"/>
        </w:rPr>
        <w:t xml:space="preserve"> bitmap based </w:t>
      </w:r>
      <w:r w:rsidR="00C73779">
        <w:rPr>
          <w:b/>
          <w:szCs w:val="20"/>
          <w:lang w:val="en-US"/>
        </w:rPr>
        <w:t xml:space="preserve">codebook can be used for unlicensed operation whose size can be semi-statically configurable. </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46986030" w14:textId="27DC10DD" w:rsidR="00425062" w:rsidRDefault="00425062" w:rsidP="00425062">
      <w:r>
        <w:t>In this contribution,</w:t>
      </w:r>
      <w:r w:rsidRPr="005148A8">
        <w:t xml:space="preserve"> </w:t>
      </w:r>
      <w:r>
        <w:t xml:space="preserve">we discussed the potential </w:t>
      </w:r>
      <w:r w:rsidRPr="00425062">
        <w:t>e</w:t>
      </w:r>
      <w:r w:rsidRPr="00CC58D1">
        <w:t xml:space="preserve">nhancements to HARQ </w:t>
      </w:r>
      <w:r>
        <w:t>procedure to support operating on unlicensed spectrum, and we derived the following proposals and observations:</w:t>
      </w:r>
    </w:p>
    <w:p w14:paraId="510890B9" w14:textId="77777777" w:rsidR="00425062" w:rsidRDefault="00425062" w:rsidP="00425062">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I</w:t>
      </w:r>
      <w:r w:rsidRPr="00CD72EA">
        <w:rPr>
          <w:b/>
          <w:szCs w:val="20"/>
          <w:lang w:val="en-US"/>
        </w:rPr>
        <w:t>n unlicensed operation, the available feedback timing over UL is not guaranteed at the time of DL scheduling.</w:t>
      </w:r>
      <w:r>
        <w:rPr>
          <w:b/>
          <w:szCs w:val="20"/>
          <w:lang w:val="en-US"/>
        </w:rPr>
        <w:t xml:space="preserve"> Therefore, indicating K1 value in the scheduling DCI may not be efficient and work as desired in the unlicensed spectrum.</w:t>
      </w:r>
    </w:p>
    <w:p w14:paraId="187213FB" w14:textId="77777777" w:rsidR="00CC58D1" w:rsidRPr="00F53FBD" w:rsidRDefault="00CC58D1" w:rsidP="00CC58D1">
      <w:pPr>
        <w:spacing w:before="240" w:after="240"/>
        <w:rPr>
          <w:b/>
          <w:szCs w:val="20"/>
          <w:lang w:val="en-US"/>
        </w:rPr>
      </w:pPr>
      <w:r>
        <w:rPr>
          <w:b/>
          <w:szCs w:val="20"/>
          <w:lang w:val="en-US"/>
        </w:rPr>
        <w:lastRenderedPageBreak/>
        <w:t xml:space="preserve">Proposal 1: In order to reduce overhead, the DCI design for multi-TTI scheduling should avoid duplicated signaling that can be commonly applicable to the set of scheduled TTIs. </w:t>
      </w:r>
    </w:p>
    <w:p w14:paraId="5D790B7C" w14:textId="77777777" w:rsidR="00CC58D1" w:rsidRDefault="00CC58D1" w:rsidP="00CC58D1">
      <w:pPr>
        <w:spacing w:before="240" w:after="240"/>
        <w:rPr>
          <w:b/>
          <w:szCs w:val="20"/>
          <w:lang w:val="en-US"/>
        </w:rPr>
      </w:pPr>
      <w:bookmarkStart w:id="1" w:name="_GoBack"/>
      <w:bookmarkEnd w:id="1"/>
      <w:r>
        <w:rPr>
          <w:b/>
          <w:szCs w:val="20"/>
          <w:lang w:val="en-US"/>
        </w:rPr>
        <w:t xml:space="preserve">Proposal 2: Configuring secondary PUCCH resource in frequency and/or time is supported, which is opportunistically utilized by UE when the LBT for the first PUCCH resource fails.  </w:t>
      </w:r>
    </w:p>
    <w:p w14:paraId="27405951" w14:textId="77777777" w:rsidR="00CC58D1" w:rsidRDefault="00CC58D1" w:rsidP="00CC58D1">
      <w:pPr>
        <w:spacing w:before="240" w:after="240"/>
        <w:rPr>
          <w:b/>
          <w:szCs w:val="20"/>
          <w:lang w:val="en-US"/>
        </w:rPr>
      </w:pPr>
      <w:r>
        <w:rPr>
          <w:b/>
          <w:szCs w:val="20"/>
          <w:lang w:val="en-US"/>
        </w:rPr>
        <w:t xml:space="preserve">Proposal 3: Triggering based HARQ-ACK feedback mechanism is introduced for NR-unlicensed in which all the pending HARQ-ACK feedback for processes that satisfy the processing time requirement can be sent in the signaled resource. </w:t>
      </w:r>
    </w:p>
    <w:p w14:paraId="3D66CA9C" w14:textId="77777777" w:rsidR="00CC58D1" w:rsidRDefault="00CC58D1" w:rsidP="00CC58D1">
      <w:pPr>
        <w:spacing w:before="240" w:after="240"/>
        <w:rPr>
          <w:lang w:val="en-US"/>
        </w:rPr>
      </w:pPr>
      <w:r>
        <w:rPr>
          <w:b/>
          <w:szCs w:val="20"/>
          <w:lang w:val="en-US"/>
        </w:rPr>
        <w:t xml:space="preserve">Proposal 4: In addition to the Rel-15 NR dynamic codebook size determination for DL HARQ-ACK feedback, bitmap based codebook can be used for unlicensed operation whose size can be semi-statically configurable. </w:t>
      </w:r>
    </w:p>
    <w:p w14:paraId="6E2C9E81" w14:textId="77777777" w:rsidR="00425062" w:rsidRPr="00F53FBD" w:rsidRDefault="00425062" w:rsidP="00425062">
      <w:pPr>
        <w:spacing w:before="240" w:after="240"/>
        <w:rPr>
          <w:b/>
          <w:szCs w:val="20"/>
          <w:lang w:val="en-US"/>
        </w:rPr>
      </w:pP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718EA6E" w14:textId="06F4E957" w:rsidR="0050700A" w:rsidRDefault="00396B04" w:rsidP="00CD72EA">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sidR="007F490A">
        <w:rPr>
          <w:rFonts w:ascii="Times New Roman" w:hAnsi="Times New Roman"/>
        </w:rPr>
        <w:t xml:space="preserve">RAN1 Chairman’s Notes, </w:t>
      </w:r>
      <w:r w:rsidR="00F770AA">
        <w:rPr>
          <w:rFonts w:ascii="Times New Roman" w:hAnsi="Times New Roman"/>
        </w:rPr>
        <w:t>3GPP TSG RAN WG1 Meeting #9</w:t>
      </w:r>
      <w:r w:rsidR="00065AAB">
        <w:rPr>
          <w:rFonts w:ascii="Times New Roman" w:hAnsi="Times New Roman"/>
        </w:rPr>
        <w:t>3</w:t>
      </w:r>
      <w:r w:rsidR="00F770AA">
        <w:rPr>
          <w:rFonts w:ascii="Times New Roman" w:hAnsi="Times New Roman"/>
        </w:rPr>
        <w:t xml:space="preserve">, </w:t>
      </w:r>
      <w:r w:rsidR="00065AAB">
        <w:rPr>
          <w:rFonts w:ascii="Times New Roman" w:hAnsi="Times New Roman"/>
        </w:rPr>
        <w:t>May</w:t>
      </w:r>
      <w:r w:rsidR="00F770AA">
        <w:rPr>
          <w:rFonts w:ascii="Times New Roman" w:hAnsi="Times New Roman"/>
        </w:rPr>
        <w:t>, 2018.</w:t>
      </w:r>
      <w:r w:rsidR="008E205A">
        <w:rPr>
          <w:rFonts w:ascii="Times New Roman" w:hAnsi="Times New Roman"/>
        </w:rPr>
        <w:t xml:space="preserve"> </w:t>
      </w:r>
    </w:p>
    <w:p w14:paraId="0313E533" w14:textId="06EEC1CD" w:rsidR="00A570D9" w:rsidRPr="00CD72EA" w:rsidRDefault="00A570D9" w:rsidP="00CD72EA">
      <w:pPr>
        <w:pStyle w:val="BodyText"/>
        <w:overflowPunct w:val="0"/>
        <w:ind w:left="420" w:hanging="240"/>
        <w:textAlignment w:val="baseline"/>
        <w:rPr>
          <w:rFonts w:ascii="Times New Roman" w:hAnsi="Times New Roman"/>
        </w:rPr>
      </w:pPr>
      <w:r>
        <w:rPr>
          <w:rFonts w:ascii="Times New Roman" w:hAnsi="Times New Roman"/>
        </w:rPr>
        <w:t>[2] RAN1 Chairman’s Notes, 3GPP TSG RAN WG1 Meeting #92bis, April, 2018.</w:t>
      </w:r>
    </w:p>
    <w:sectPr w:rsidR="00A570D9" w:rsidRPr="00CD72EA"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ED319" w14:textId="77777777" w:rsidR="00D16A17" w:rsidRDefault="00D16A17"/>
  </w:endnote>
  <w:endnote w:type="continuationSeparator" w:id="0">
    <w:p w14:paraId="75788EFD" w14:textId="77777777" w:rsidR="00D16A17" w:rsidRDefault="00D16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29878" w14:textId="77777777" w:rsidR="00D16A17" w:rsidRDefault="00D16A17"/>
  </w:footnote>
  <w:footnote w:type="continuationSeparator" w:id="0">
    <w:p w14:paraId="2079598B" w14:textId="77777777" w:rsidR="00D16A17" w:rsidRDefault="00D16A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7E0F"/>
    <w:multiLevelType w:val="hybridMultilevel"/>
    <w:tmpl w:val="B48E2206"/>
    <w:lvl w:ilvl="0" w:tplc="8716F982">
      <w:start w:val="1"/>
      <w:numFmt w:val="bullet"/>
      <w:lvlText w:val=""/>
      <w:lvlJc w:val="left"/>
      <w:pPr>
        <w:tabs>
          <w:tab w:val="num" w:pos="720"/>
        </w:tabs>
        <w:ind w:left="720" w:hanging="360"/>
      </w:pPr>
      <w:rPr>
        <w:rFonts w:ascii="Wingdings" w:hAnsi="Wingdings" w:hint="default"/>
      </w:rPr>
    </w:lvl>
    <w:lvl w:ilvl="1" w:tplc="BA9ECCF2">
      <w:start w:val="1"/>
      <w:numFmt w:val="bullet"/>
      <w:lvlText w:val=""/>
      <w:lvlJc w:val="left"/>
      <w:pPr>
        <w:tabs>
          <w:tab w:val="num" w:pos="1440"/>
        </w:tabs>
        <w:ind w:left="1440" w:hanging="360"/>
      </w:pPr>
      <w:rPr>
        <w:rFonts w:ascii="Wingdings" w:hAnsi="Wingdings" w:hint="default"/>
      </w:rPr>
    </w:lvl>
    <w:lvl w:ilvl="2" w:tplc="14EAC03C">
      <w:start w:val="110"/>
      <w:numFmt w:val="bullet"/>
      <w:lvlText w:val="–"/>
      <w:lvlJc w:val="left"/>
      <w:pPr>
        <w:tabs>
          <w:tab w:val="num" w:pos="2160"/>
        </w:tabs>
        <w:ind w:left="2160" w:hanging="360"/>
      </w:pPr>
      <w:rPr>
        <w:rFonts w:ascii="Intel Clear" w:hAnsi="Intel Clear" w:hint="default"/>
      </w:rPr>
    </w:lvl>
    <w:lvl w:ilvl="3" w:tplc="7660A992">
      <w:start w:val="110"/>
      <w:numFmt w:val="bullet"/>
      <w:lvlText w:val="–"/>
      <w:lvlJc w:val="left"/>
      <w:pPr>
        <w:tabs>
          <w:tab w:val="num" w:pos="2880"/>
        </w:tabs>
        <w:ind w:left="2880" w:hanging="360"/>
      </w:pPr>
      <w:rPr>
        <w:rFonts w:ascii="Arial" w:hAnsi="Arial" w:hint="default"/>
      </w:rPr>
    </w:lvl>
    <w:lvl w:ilvl="4" w:tplc="C9007B66" w:tentative="1">
      <w:start w:val="1"/>
      <w:numFmt w:val="bullet"/>
      <w:lvlText w:val=""/>
      <w:lvlJc w:val="left"/>
      <w:pPr>
        <w:tabs>
          <w:tab w:val="num" w:pos="3600"/>
        </w:tabs>
        <w:ind w:left="3600" w:hanging="360"/>
      </w:pPr>
      <w:rPr>
        <w:rFonts w:ascii="Wingdings" w:hAnsi="Wingdings" w:hint="default"/>
      </w:rPr>
    </w:lvl>
    <w:lvl w:ilvl="5" w:tplc="76FE86CA" w:tentative="1">
      <w:start w:val="1"/>
      <w:numFmt w:val="bullet"/>
      <w:lvlText w:val=""/>
      <w:lvlJc w:val="left"/>
      <w:pPr>
        <w:tabs>
          <w:tab w:val="num" w:pos="4320"/>
        </w:tabs>
        <w:ind w:left="4320" w:hanging="360"/>
      </w:pPr>
      <w:rPr>
        <w:rFonts w:ascii="Wingdings" w:hAnsi="Wingdings" w:hint="default"/>
      </w:rPr>
    </w:lvl>
    <w:lvl w:ilvl="6" w:tplc="685C079C" w:tentative="1">
      <w:start w:val="1"/>
      <w:numFmt w:val="bullet"/>
      <w:lvlText w:val=""/>
      <w:lvlJc w:val="left"/>
      <w:pPr>
        <w:tabs>
          <w:tab w:val="num" w:pos="5040"/>
        </w:tabs>
        <w:ind w:left="5040" w:hanging="360"/>
      </w:pPr>
      <w:rPr>
        <w:rFonts w:ascii="Wingdings" w:hAnsi="Wingdings" w:hint="default"/>
      </w:rPr>
    </w:lvl>
    <w:lvl w:ilvl="7" w:tplc="6D667D92" w:tentative="1">
      <w:start w:val="1"/>
      <w:numFmt w:val="bullet"/>
      <w:lvlText w:val=""/>
      <w:lvlJc w:val="left"/>
      <w:pPr>
        <w:tabs>
          <w:tab w:val="num" w:pos="5760"/>
        </w:tabs>
        <w:ind w:left="5760" w:hanging="360"/>
      </w:pPr>
      <w:rPr>
        <w:rFonts w:ascii="Wingdings" w:hAnsi="Wingdings" w:hint="default"/>
      </w:rPr>
    </w:lvl>
    <w:lvl w:ilvl="8" w:tplc="D25C9F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873C3"/>
    <w:multiLevelType w:val="hybridMultilevel"/>
    <w:tmpl w:val="85EE7D36"/>
    <w:lvl w:ilvl="0" w:tplc="61AC7B0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A566C28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2267AA"/>
    <w:multiLevelType w:val="hybridMultilevel"/>
    <w:tmpl w:val="4D5E662A"/>
    <w:lvl w:ilvl="0" w:tplc="C3FE8EC6">
      <w:start w:val="78"/>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B72B8"/>
    <w:multiLevelType w:val="hybridMultilevel"/>
    <w:tmpl w:val="A8DC9A7E"/>
    <w:lvl w:ilvl="0" w:tplc="41CA6970">
      <w:start w:val="1"/>
      <w:numFmt w:val="bullet"/>
      <w:lvlText w:val="–"/>
      <w:lvlJc w:val="left"/>
      <w:pPr>
        <w:tabs>
          <w:tab w:val="num" w:pos="720"/>
        </w:tabs>
        <w:ind w:left="720" w:hanging="360"/>
      </w:pPr>
      <w:rPr>
        <w:rFonts w:ascii="Intel Clear" w:hAnsi="Intel Clear" w:hint="default"/>
      </w:rPr>
    </w:lvl>
    <w:lvl w:ilvl="1" w:tplc="47B683EA" w:tentative="1">
      <w:start w:val="1"/>
      <w:numFmt w:val="bullet"/>
      <w:lvlText w:val="–"/>
      <w:lvlJc w:val="left"/>
      <w:pPr>
        <w:tabs>
          <w:tab w:val="num" w:pos="1440"/>
        </w:tabs>
        <w:ind w:left="1440" w:hanging="360"/>
      </w:pPr>
      <w:rPr>
        <w:rFonts w:ascii="Intel Clear" w:hAnsi="Intel Clear" w:hint="default"/>
      </w:rPr>
    </w:lvl>
    <w:lvl w:ilvl="2" w:tplc="50DEEC74">
      <w:start w:val="1"/>
      <w:numFmt w:val="bullet"/>
      <w:lvlText w:val="–"/>
      <w:lvlJc w:val="left"/>
      <w:pPr>
        <w:tabs>
          <w:tab w:val="num" w:pos="2160"/>
        </w:tabs>
        <w:ind w:left="2160" w:hanging="360"/>
      </w:pPr>
      <w:rPr>
        <w:rFonts w:ascii="Intel Clear" w:hAnsi="Intel Clear" w:hint="default"/>
      </w:rPr>
    </w:lvl>
    <w:lvl w:ilvl="3" w:tplc="BF3CEFC6" w:tentative="1">
      <w:start w:val="1"/>
      <w:numFmt w:val="bullet"/>
      <w:lvlText w:val="–"/>
      <w:lvlJc w:val="left"/>
      <w:pPr>
        <w:tabs>
          <w:tab w:val="num" w:pos="2880"/>
        </w:tabs>
        <w:ind w:left="2880" w:hanging="360"/>
      </w:pPr>
      <w:rPr>
        <w:rFonts w:ascii="Intel Clear" w:hAnsi="Intel Clear" w:hint="default"/>
      </w:rPr>
    </w:lvl>
    <w:lvl w:ilvl="4" w:tplc="006A64E2" w:tentative="1">
      <w:start w:val="1"/>
      <w:numFmt w:val="bullet"/>
      <w:lvlText w:val="–"/>
      <w:lvlJc w:val="left"/>
      <w:pPr>
        <w:tabs>
          <w:tab w:val="num" w:pos="3600"/>
        </w:tabs>
        <w:ind w:left="3600" w:hanging="360"/>
      </w:pPr>
      <w:rPr>
        <w:rFonts w:ascii="Intel Clear" w:hAnsi="Intel Clear" w:hint="default"/>
      </w:rPr>
    </w:lvl>
    <w:lvl w:ilvl="5" w:tplc="D31EE744" w:tentative="1">
      <w:start w:val="1"/>
      <w:numFmt w:val="bullet"/>
      <w:lvlText w:val="–"/>
      <w:lvlJc w:val="left"/>
      <w:pPr>
        <w:tabs>
          <w:tab w:val="num" w:pos="4320"/>
        </w:tabs>
        <w:ind w:left="4320" w:hanging="360"/>
      </w:pPr>
      <w:rPr>
        <w:rFonts w:ascii="Intel Clear" w:hAnsi="Intel Clear" w:hint="default"/>
      </w:rPr>
    </w:lvl>
    <w:lvl w:ilvl="6" w:tplc="BE60DE7E" w:tentative="1">
      <w:start w:val="1"/>
      <w:numFmt w:val="bullet"/>
      <w:lvlText w:val="–"/>
      <w:lvlJc w:val="left"/>
      <w:pPr>
        <w:tabs>
          <w:tab w:val="num" w:pos="5040"/>
        </w:tabs>
        <w:ind w:left="5040" w:hanging="360"/>
      </w:pPr>
      <w:rPr>
        <w:rFonts w:ascii="Intel Clear" w:hAnsi="Intel Clear" w:hint="default"/>
      </w:rPr>
    </w:lvl>
    <w:lvl w:ilvl="7" w:tplc="03148326" w:tentative="1">
      <w:start w:val="1"/>
      <w:numFmt w:val="bullet"/>
      <w:lvlText w:val="–"/>
      <w:lvlJc w:val="left"/>
      <w:pPr>
        <w:tabs>
          <w:tab w:val="num" w:pos="5760"/>
        </w:tabs>
        <w:ind w:left="5760" w:hanging="360"/>
      </w:pPr>
      <w:rPr>
        <w:rFonts w:ascii="Intel Clear" w:hAnsi="Intel Clear" w:hint="default"/>
      </w:rPr>
    </w:lvl>
    <w:lvl w:ilvl="8" w:tplc="D652AE72" w:tentative="1">
      <w:start w:val="1"/>
      <w:numFmt w:val="bullet"/>
      <w:lvlText w:val="–"/>
      <w:lvlJc w:val="left"/>
      <w:pPr>
        <w:tabs>
          <w:tab w:val="num" w:pos="6480"/>
        </w:tabs>
        <w:ind w:left="6480" w:hanging="360"/>
      </w:pPr>
      <w:rPr>
        <w:rFonts w:ascii="Intel Clear" w:hAnsi="Intel Clear" w:hint="default"/>
      </w:rPr>
    </w:lvl>
  </w:abstractNum>
  <w:abstractNum w:abstractNumId="27"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C32E57"/>
    <w:multiLevelType w:val="hybridMultilevel"/>
    <w:tmpl w:val="D66470B2"/>
    <w:lvl w:ilvl="0" w:tplc="B838C916">
      <w:start w:val="1"/>
      <w:numFmt w:val="bullet"/>
      <w:lvlText w:val="–"/>
      <w:lvlJc w:val="left"/>
      <w:pPr>
        <w:tabs>
          <w:tab w:val="num" w:pos="720"/>
        </w:tabs>
        <w:ind w:left="720" w:hanging="360"/>
      </w:pPr>
      <w:rPr>
        <w:rFonts w:ascii="Intel Clear" w:hAnsi="Intel Clear" w:hint="default"/>
      </w:rPr>
    </w:lvl>
    <w:lvl w:ilvl="1" w:tplc="F990BC0C" w:tentative="1">
      <w:start w:val="1"/>
      <w:numFmt w:val="bullet"/>
      <w:lvlText w:val="–"/>
      <w:lvlJc w:val="left"/>
      <w:pPr>
        <w:tabs>
          <w:tab w:val="num" w:pos="1440"/>
        </w:tabs>
        <w:ind w:left="1440" w:hanging="360"/>
      </w:pPr>
      <w:rPr>
        <w:rFonts w:ascii="Intel Clear" w:hAnsi="Intel Clear" w:hint="default"/>
      </w:rPr>
    </w:lvl>
    <w:lvl w:ilvl="2" w:tplc="C382C5DC">
      <w:start w:val="1"/>
      <w:numFmt w:val="bullet"/>
      <w:lvlText w:val="–"/>
      <w:lvlJc w:val="left"/>
      <w:pPr>
        <w:tabs>
          <w:tab w:val="num" w:pos="2160"/>
        </w:tabs>
        <w:ind w:left="2160" w:hanging="360"/>
      </w:pPr>
      <w:rPr>
        <w:rFonts w:ascii="Intel Clear" w:hAnsi="Intel Clear" w:hint="default"/>
      </w:rPr>
    </w:lvl>
    <w:lvl w:ilvl="3" w:tplc="0186BF00" w:tentative="1">
      <w:start w:val="1"/>
      <w:numFmt w:val="bullet"/>
      <w:lvlText w:val="–"/>
      <w:lvlJc w:val="left"/>
      <w:pPr>
        <w:tabs>
          <w:tab w:val="num" w:pos="2880"/>
        </w:tabs>
        <w:ind w:left="2880" w:hanging="360"/>
      </w:pPr>
      <w:rPr>
        <w:rFonts w:ascii="Intel Clear" w:hAnsi="Intel Clear" w:hint="default"/>
      </w:rPr>
    </w:lvl>
    <w:lvl w:ilvl="4" w:tplc="1916E004" w:tentative="1">
      <w:start w:val="1"/>
      <w:numFmt w:val="bullet"/>
      <w:lvlText w:val="–"/>
      <w:lvlJc w:val="left"/>
      <w:pPr>
        <w:tabs>
          <w:tab w:val="num" w:pos="3600"/>
        </w:tabs>
        <w:ind w:left="3600" w:hanging="360"/>
      </w:pPr>
      <w:rPr>
        <w:rFonts w:ascii="Intel Clear" w:hAnsi="Intel Clear" w:hint="default"/>
      </w:rPr>
    </w:lvl>
    <w:lvl w:ilvl="5" w:tplc="B6B6176E" w:tentative="1">
      <w:start w:val="1"/>
      <w:numFmt w:val="bullet"/>
      <w:lvlText w:val="–"/>
      <w:lvlJc w:val="left"/>
      <w:pPr>
        <w:tabs>
          <w:tab w:val="num" w:pos="4320"/>
        </w:tabs>
        <w:ind w:left="4320" w:hanging="360"/>
      </w:pPr>
      <w:rPr>
        <w:rFonts w:ascii="Intel Clear" w:hAnsi="Intel Clear" w:hint="default"/>
      </w:rPr>
    </w:lvl>
    <w:lvl w:ilvl="6" w:tplc="1C9E47F6" w:tentative="1">
      <w:start w:val="1"/>
      <w:numFmt w:val="bullet"/>
      <w:lvlText w:val="–"/>
      <w:lvlJc w:val="left"/>
      <w:pPr>
        <w:tabs>
          <w:tab w:val="num" w:pos="5040"/>
        </w:tabs>
        <w:ind w:left="5040" w:hanging="360"/>
      </w:pPr>
      <w:rPr>
        <w:rFonts w:ascii="Intel Clear" w:hAnsi="Intel Clear" w:hint="default"/>
      </w:rPr>
    </w:lvl>
    <w:lvl w:ilvl="7" w:tplc="05AC0444" w:tentative="1">
      <w:start w:val="1"/>
      <w:numFmt w:val="bullet"/>
      <w:lvlText w:val="–"/>
      <w:lvlJc w:val="left"/>
      <w:pPr>
        <w:tabs>
          <w:tab w:val="num" w:pos="5760"/>
        </w:tabs>
        <w:ind w:left="5760" w:hanging="360"/>
      </w:pPr>
      <w:rPr>
        <w:rFonts w:ascii="Intel Clear" w:hAnsi="Intel Clear" w:hint="default"/>
      </w:rPr>
    </w:lvl>
    <w:lvl w:ilvl="8" w:tplc="1186A8EE" w:tentative="1">
      <w:start w:val="1"/>
      <w:numFmt w:val="bullet"/>
      <w:lvlText w:val="–"/>
      <w:lvlJc w:val="left"/>
      <w:pPr>
        <w:tabs>
          <w:tab w:val="num" w:pos="6480"/>
        </w:tabs>
        <w:ind w:left="6480" w:hanging="360"/>
      </w:pPr>
      <w:rPr>
        <w:rFonts w:ascii="Intel Clear" w:hAnsi="Intel Clear" w:hint="default"/>
      </w:rPr>
    </w:lvl>
  </w:abstractNum>
  <w:abstractNum w:abstractNumId="33"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DE57B7"/>
    <w:multiLevelType w:val="hybridMultilevel"/>
    <w:tmpl w:val="9BF213BA"/>
    <w:lvl w:ilvl="0" w:tplc="4A66BAFE">
      <w:start w:val="1"/>
      <w:numFmt w:val="bullet"/>
      <w:lvlText w:val="–"/>
      <w:lvlJc w:val="left"/>
      <w:pPr>
        <w:tabs>
          <w:tab w:val="num" w:pos="720"/>
        </w:tabs>
        <w:ind w:left="720" w:hanging="360"/>
      </w:pPr>
      <w:rPr>
        <w:rFonts w:ascii="Intel Clear" w:hAnsi="Intel Clear" w:hint="default"/>
      </w:rPr>
    </w:lvl>
    <w:lvl w:ilvl="1" w:tplc="3B4C4F16" w:tentative="1">
      <w:start w:val="1"/>
      <w:numFmt w:val="bullet"/>
      <w:lvlText w:val="–"/>
      <w:lvlJc w:val="left"/>
      <w:pPr>
        <w:tabs>
          <w:tab w:val="num" w:pos="1440"/>
        </w:tabs>
        <w:ind w:left="1440" w:hanging="360"/>
      </w:pPr>
      <w:rPr>
        <w:rFonts w:ascii="Intel Clear" w:hAnsi="Intel Clear" w:hint="default"/>
      </w:rPr>
    </w:lvl>
    <w:lvl w:ilvl="2" w:tplc="7674B97E">
      <w:start w:val="1"/>
      <w:numFmt w:val="bullet"/>
      <w:lvlText w:val="–"/>
      <w:lvlJc w:val="left"/>
      <w:pPr>
        <w:tabs>
          <w:tab w:val="num" w:pos="2160"/>
        </w:tabs>
        <w:ind w:left="2160" w:hanging="360"/>
      </w:pPr>
      <w:rPr>
        <w:rFonts w:ascii="Intel Clear" w:hAnsi="Intel Clear" w:hint="default"/>
      </w:rPr>
    </w:lvl>
    <w:lvl w:ilvl="3" w:tplc="C3A4DFD8" w:tentative="1">
      <w:start w:val="1"/>
      <w:numFmt w:val="bullet"/>
      <w:lvlText w:val="–"/>
      <w:lvlJc w:val="left"/>
      <w:pPr>
        <w:tabs>
          <w:tab w:val="num" w:pos="2880"/>
        </w:tabs>
        <w:ind w:left="2880" w:hanging="360"/>
      </w:pPr>
      <w:rPr>
        <w:rFonts w:ascii="Intel Clear" w:hAnsi="Intel Clear" w:hint="default"/>
      </w:rPr>
    </w:lvl>
    <w:lvl w:ilvl="4" w:tplc="0994C5B6" w:tentative="1">
      <w:start w:val="1"/>
      <w:numFmt w:val="bullet"/>
      <w:lvlText w:val="–"/>
      <w:lvlJc w:val="left"/>
      <w:pPr>
        <w:tabs>
          <w:tab w:val="num" w:pos="3600"/>
        </w:tabs>
        <w:ind w:left="3600" w:hanging="360"/>
      </w:pPr>
      <w:rPr>
        <w:rFonts w:ascii="Intel Clear" w:hAnsi="Intel Clear" w:hint="default"/>
      </w:rPr>
    </w:lvl>
    <w:lvl w:ilvl="5" w:tplc="64AA3F02" w:tentative="1">
      <w:start w:val="1"/>
      <w:numFmt w:val="bullet"/>
      <w:lvlText w:val="–"/>
      <w:lvlJc w:val="left"/>
      <w:pPr>
        <w:tabs>
          <w:tab w:val="num" w:pos="4320"/>
        </w:tabs>
        <w:ind w:left="4320" w:hanging="360"/>
      </w:pPr>
      <w:rPr>
        <w:rFonts w:ascii="Intel Clear" w:hAnsi="Intel Clear" w:hint="default"/>
      </w:rPr>
    </w:lvl>
    <w:lvl w:ilvl="6" w:tplc="800A703E" w:tentative="1">
      <w:start w:val="1"/>
      <w:numFmt w:val="bullet"/>
      <w:lvlText w:val="–"/>
      <w:lvlJc w:val="left"/>
      <w:pPr>
        <w:tabs>
          <w:tab w:val="num" w:pos="5040"/>
        </w:tabs>
        <w:ind w:left="5040" w:hanging="360"/>
      </w:pPr>
      <w:rPr>
        <w:rFonts w:ascii="Intel Clear" w:hAnsi="Intel Clear" w:hint="default"/>
      </w:rPr>
    </w:lvl>
    <w:lvl w:ilvl="7" w:tplc="53B6E402" w:tentative="1">
      <w:start w:val="1"/>
      <w:numFmt w:val="bullet"/>
      <w:lvlText w:val="–"/>
      <w:lvlJc w:val="left"/>
      <w:pPr>
        <w:tabs>
          <w:tab w:val="num" w:pos="5760"/>
        </w:tabs>
        <w:ind w:left="5760" w:hanging="360"/>
      </w:pPr>
      <w:rPr>
        <w:rFonts w:ascii="Intel Clear" w:hAnsi="Intel Clear" w:hint="default"/>
      </w:rPr>
    </w:lvl>
    <w:lvl w:ilvl="8" w:tplc="BD44799C" w:tentative="1">
      <w:start w:val="1"/>
      <w:numFmt w:val="bullet"/>
      <w:lvlText w:val="–"/>
      <w:lvlJc w:val="left"/>
      <w:pPr>
        <w:tabs>
          <w:tab w:val="num" w:pos="6480"/>
        </w:tabs>
        <w:ind w:left="6480" w:hanging="360"/>
      </w:pPr>
      <w:rPr>
        <w:rFonts w:ascii="Intel Clear" w:hAnsi="Intel Clear" w:hint="default"/>
      </w:rPr>
    </w:lvl>
  </w:abstractNum>
  <w:abstractNum w:abstractNumId="3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18131E"/>
    <w:multiLevelType w:val="hybridMultilevel"/>
    <w:tmpl w:val="31829CDE"/>
    <w:lvl w:ilvl="0" w:tplc="5D3E9DBA">
      <w:start w:val="1"/>
      <w:numFmt w:val="bullet"/>
      <w:lvlText w:val="–"/>
      <w:lvlJc w:val="left"/>
      <w:pPr>
        <w:tabs>
          <w:tab w:val="num" w:pos="720"/>
        </w:tabs>
        <w:ind w:left="720" w:hanging="360"/>
      </w:pPr>
      <w:rPr>
        <w:rFonts w:ascii="Intel Clear" w:hAnsi="Intel Clear" w:hint="default"/>
      </w:rPr>
    </w:lvl>
    <w:lvl w:ilvl="1" w:tplc="50D09994">
      <w:start w:val="1"/>
      <w:numFmt w:val="bullet"/>
      <w:lvlText w:val="–"/>
      <w:lvlJc w:val="left"/>
      <w:pPr>
        <w:tabs>
          <w:tab w:val="num" w:pos="1440"/>
        </w:tabs>
        <w:ind w:left="1440" w:hanging="360"/>
      </w:pPr>
      <w:rPr>
        <w:rFonts w:ascii="Intel Clear" w:hAnsi="Intel Clear" w:hint="default"/>
      </w:rPr>
    </w:lvl>
    <w:lvl w:ilvl="2" w:tplc="347A786C">
      <w:start w:val="1"/>
      <w:numFmt w:val="bullet"/>
      <w:lvlText w:val="–"/>
      <w:lvlJc w:val="left"/>
      <w:pPr>
        <w:tabs>
          <w:tab w:val="num" w:pos="2160"/>
        </w:tabs>
        <w:ind w:left="2160" w:hanging="360"/>
      </w:pPr>
      <w:rPr>
        <w:rFonts w:ascii="Intel Clear" w:hAnsi="Intel Clear" w:hint="default"/>
      </w:rPr>
    </w:lvl>
    <w:lvl w:ilvl="3" w:tplc="4BDED22C" w:tentative="1">
      <w:start w:val="1"/>
      <w:numFmt w:val="bullet"/>
      <w:lvlText w:val="–"/>
      <w:lvlJc w:val="left"/>
      <w:pPr>
        <w:tabs>
          <w:tab w:val="num" w:pos="2880"/>
        </w:tabs>
        <w:ind w:left="2880" w:hanging="360"/>
      </w:pPr>
      <w:rPr>
        <w:rFonts w:ascii="Intel Clear" w:hAnsi="Intel Clear" w:hint="default"/>
      </w:rPr>
    </w:lvl>
    <w:lvl w:ilvl="4" w:tplc="804C8794" w:tentative="1">
      <w:start w:val="1"/>
      <w:numFmt w:val="bullet"/>
      <w:lvlText w:val="–"/>
      <w:lvlJc w:val="left"/>
      <w:pPr>
        <w:tabs>
          <w:tab w:val="num" w:pos="3600"/>
        </w:tabs>
        <w:ind w:left="3600" w:hanging="360"/>
      </w:pPr>
      <w:rPr>
        <w:rFonts w:ascii="Intel Clear" w:hAnsi="Intel Clear" w:hint="default"/>
      </w:rPr>
    </w:lvl>
    <w:lvl w:ilvl="5" w:tplc="AF4A2274" w:tentative="1">
      <w:start w:val="1"/>
      <w:numFmt w:val="bullet"/>
      <w:lvlText w:val="–"/>
      <w:lvlJc w:val="left"/>
      <w:pPr>
        <w:tabs>
          <w:tab w:val="num" w:pos="4320"/>
        </w:tabs>
        <w:ind w:left="4320" w:hanging="360"/>
      </w:pPr>
      <w:rPr>
        <w:rFonts w:ascii="Intel Clear" w:hAnsi="Intel Clear" w:hint="default"/>
      </w:rPr>
    </w:lvl>
    <w:lvl w:ilvl="6" w:tplc="4392C59A" w:tentative="1">
      <w:start w:val="1"/>
      <w:numFmt w:val="bullet"/>
      <w:lvlText w:val="–"/>
      <w:lvlJc w:val="left"/>
      <w:pPr>
        <w:tabs>
          <w:tab w:val="num" w:pos="5040"/>
        </w:tabs>
        <w:ind w:left="5040" w:hanging="360"/>
      </w:pPr>
      <w:rPr>
        <w:rFonts w:ascii="Intel Clear" w:hAnsi="Intel Clear" w:hint="default"/>
      </w:rPr>
    </w:lvl>
    <w:lvl w:ilvl="7" w:tplc="3D8EE08C" w:tentative="1">
      <w:start w:val="1"/>
      <w:numFmt w:val="bullet"/>
      <w:lvlText w:val="–"/>
      <w:lvlJc w:val="left"/>
      <w:pPr>
        <w:tabs>
          <w:tab w:val="num" w:pos="5760"/>
        </w:tabs>
        <w:ind w:left="5760" w:hanging="360"/>
      </w:pPr>
      <w:rPr>
        <w:rFonts w:ascii="Intel Clear" w:hAnsi="Intel Clear" w:hint="default"/>
      </w:rPr>
    </w:lvl>
    <w:lvl w:ilvl="8" w:tplc="EFCC0552" w:tentative="1">
      <w:start w:val="1"/>
      <w:numFmt w:val="bullet"/>
      <w:lvlText w:val="–"/>
      <w:lvlJc w:val="left"/>
      <w:pPr>
        <w:tabs>
          <w:tab w:val="num" w:pos="6480"/>
        </w:tabs>
        <w:ind w:left="6480" w:hanging="360"/>
      </w:pPr>
      <w:rPr>
        <w:rFonts w:ascii="Intel Clear" w:hAnsi="Intel Clear" w:hint="default"/>
      </w:rPr>
    </w:lvl>
  </w:abstractNum>
  <w:num w:numId="1">
    <w:abstractNumId w:val="20"/>
  </w:num>
  <w:num w:numId="2">
    <w:abstractNumId w:val="39"/>
  </w:num>
  <w:num w:numId="3">
    <w:abstractNumId w:val="6"/>
  </w:num>
  <w:num w:numId="4">
    <w:abstractNumId w:val="0"/>
  </w:num>
  <w:num w:numId="5">
    <w:abstractNumId w:val="28"/>
  </w:num>
  <w:num w:numId="6">
    <w:abstractNumId w:val="8"/>
  </w:num>
  <w:num w:numId="7">
    <w:abstractNumId w:val="14"/>
  </w:num>
  <w:num w:numId="8">
    <w:abstractNumId w:val="19"/>
  </w:num>
  <w:num w:numId="9">
    <w:abstractNumId w:val="17"/>
  </w:num>
  <w:num w:numId="10">
    <w:abstractNumId w:val="12"/>
  </w:num>
  <w:num w:numId="11">
    <w:abstractNumId w:val="33"/>
  </w:num>
  <w:num w:numId="12">
    <w:abstractNumId w:val="1"/>
  </w:num>
  <w:num w:numId="13">
    <w:abstractNumId w:val="18"/>
  </w:num>
  <w:num w:numId="14">
    <w:abstractNumId w:val="13"/>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 w:numId="19">
    <w:abstractNumId w:val="35"/>
  </w:num>
  <w:num w:numId="20">
    <w:abstractNumId w:val="34"/>
  </w:num>
  <w:num w:numId="21">
    <w:abstractNumId w:val="27"/>
  </w:num>
  <w:num w:numId="22">
    <w:abstractNumId w:val="24"/>
  </w:num>
  <w:num w:numId="23">
    <w:abstractNumId w:val="37"/>
  </w:num>
  <w:num w:numId="24">
    <w:abstractNumId w:val="9"/>
  </w:num>
  <w:num w:numId="25">
    <w:abstractNumId w:val="10"/>
  </w:num>
  <w:num w:numId="26">
    <w:abstractNumId w:val="40"/>
  </w:num>
  <w:num w:numId="27">
    <w:abstractNumId w:val="31"/>
  </w:num>
  <w:num w:numId="28">
    <w:abstractNumId w:val="25"/>
  </w:num>
  <w:num w:numId="29">
    <w:abstractNumId w:val="15"/>
  </w:num>
  <w:num w:numId="30">
    <w:abstractNumId w:val="30"/>
  </w:num>
  <w:num w:numId="31">
    <w:abstractNumId w:val="38"/>
  </w:num>
  <w:num w:numId="32">
    <w:abstractNumId w:val="21"/>
  </w:num>
  <w:num w:numId="33">
    <w:abstractNumId w:val="29"/>
  </w:num>
  <w:num w:numId="34">
    <w:abstractNumId w:val="5"/>
  </w:num>
  <w:num w:numId="35">
    <w:abstractNumId w:val="22"/>
  </w:num>
  <w:num w:numId="36">
    <w:abstractNumId w:val="23"/>
  </w:num>
  <w:num w:numId="37">
    <w:abstractNumId w:val="26"/>
  </w:num>
  <w:num w:numId="38">
    <w:abstractNumId w:val="43"/>
  </w:num>
  <w:num w:numId="39">
    <w:abstractNumId w:val="36"/>
  </w:num>
  <w:num w:numId="40">
    <w:abstractNumId w:val="32"/>
  </w:num>
  <w:num w:numId="41">
    <w:abstractNumId w:val="2"/>
  </w:num>
  <w:num w:numId="42">
    <w:abstractNumId w:val="11"/>
  </w:num>
  <w:num w:numId="43">
    <w:abstractNumId w:val="3"/>
  </w:num>
  <w:num w:numId="44">
    <w:abstractNumId w:val="42"/>
  </w:num>
  <w:num w:numId="45">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9CB"/>
    <w:rsid w:val="00011E5B"/>
    <w:rsid w:val="0001203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5AAB"/>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26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2BA"/>
    <w:rsid w:val="00122329"/>
    <w:rsid w:val="00122501"/>
    <w:rsid w:val="0012268A"/>
    <w:rsid w:val="001229E1"/>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567"/>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4F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38B"/>
    <w:rsid w:val="001C6507"/>
    <w:rsid w:val="001C7307"/>
    <w:rsid w:val="001D030C"/>
    <w:rsid w:val="001D05F9"/>
    <w:rsid w:val="001D0D45"/>
    <w:rsid w:val="001D1510"/>
    <w:rsid w:val="001D166F"/>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B1C"/>
    <w:rsid w:val="00216BED"/>
    <w:rsid w:val="00217794"/>
    <w:rsid w:val="002177B5"/>
    <w:rsid w:val="002178E9"/>
    <w:rsid w:val="00220B35"/>
    <w:rsid w:val="00221337"/>
    <w:rsid w:val="00221A70"/>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0AD"/>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82B"/>
    <w:rsid w:val="00282A65"/>
    <w:rsid w:val="00283B09"/>
    <w:rsid w:val="00283CAB"/>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1BBF"/>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99"/>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AF3"/>
    <w:rsid w:val="00396B04"/>
    <w:rsid w:val="00396FB2"/>
    <w:rsid w:val="003974E9"/>
    <w:rsid w:val="003A17B9"/>
    <w:rsid w:val="003A1ACF"/>
    <w:rsid w:val="003A22C7"/>
    <w:rsid w:val="003A42FD"/>
    <w:rsid w:val="003A6CD3"/>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3778"/>
    <w:rsid w:val="003E434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6BB"/>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62"/>
    <w:rsid w:val="0042508D"/>
    <w:rsid w:val="004259C7"/>
    <w:rsid w:val="004264D6"/>
    <w:rsid w:val="00426BFD"/>
    <w:rsid w:val="0042757E"/>
    <w:rsid w:val="00427643"/>
    <w:rsid w:val="00427875"/>
    <w:rsid w:val="00427DA5"/>
    <w:rsid w:val="00427E08"/>
    <w:rsid w:val="00427E5C"/>
    <w:rsid w:val="00430E96"/>
    <w:rsid w:val="00431F38"/>
    <w:rsid w:val="00432C90"/>
    <w:rsid w:val="00432D5E"/>
    <w:rsid w:val="004331A8"/>
    <w:rsid w:val="00433496"/>
    <w:rsid w:val="00434236"/>
    <w:rsid w:val="004345C4"/>
    <w:rsid w:val="00434D0E"/>
    <w:rsid w:val="00434F76"/>
    <w:rsid w:val="004354C4"/>
    <w:rsid w:val="004370EF"/>
    <w:rsid w:val="00440AA3"/>
    <w:rsid w:val="00441887"/>
    <w:rsid w:val="004418A2"/>
    <w:rsid w:val="00441BD1"/>
    <w:rsid w:val="004425D9"/>
    <w:rsid w:val="00443053"/>
    <w:rsid w:val="004432BE"/>
    <w:rsid w:val="00443515"/>
    <w:rsid w:val="00443AE7"/>
    <w:rsid w:val="00443EE9"/>
    <w:rsid w:val="004451F2"/>
    <w:rsid w:val="004459F4"/>
    <w:rsid w:val="00445BD1"/>
    <w:rsid w:val="00445D64"/>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DCF"/>
    <w:rsid w:val="00536F1F"/>
    <w:rsid w:val="00537565"/>
    <w:rsid w:val="005378B3"/>
    <w:rsid w:val="00540BC3"/>
    <w:rsid w:val="00541A14"/>
    <w:rsid w:val="00541BA8"/>
    <w:rsid w:val="005434C1"/>
    <w:rsid w:val="00543812"/>
    <w:rsid w:val="00543E79"/>
    <w:rsid w:val="005442D1"/>
    <w:rsid w:val="005445BF"/>
    <w:rsid w:val="0054462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64D"/>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1E92"/>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43A"/>
    <w:rsid w:val="006A76C8"/>
    <w:rsid w:val="006B006E"/>
    <w:rsid w:val="006B0127"/>
    <w:rsid w:val="006B0B87"/>
    <w:rsid w:val="006B100B"/>
    <w:rsid w:val="006B25F1"/>
    <w:rsid w:val="006B2946"/>
    <w:rsid w:val="006B2C87"/>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1D"/>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402BB"/>
    <w:rsid w:val="007402E0"/>
    <w:rsid w:val="00741D65"/>
    <w:rsid w:val="00742FD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620"/>
    <w:rsid w:val="00795D07"/>
    <w:rsid w:val="00795FA0"/>
    <w:rsid w:val="007961FE"/>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172"/>
    <w:rsid w:val="008575DD"/>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79D"/>
    <w:rsid w:val="008D062F"/>
    <w:rsid w:val="008D09B1"/>
    <w:rsid w:val="008D28C5"/>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3F04"/>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49E"/>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2DA"/>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078FA"/>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6FE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4804"/>
    <w:rsid w:val="00B4565A"/>
    <w:rsid w:val="00B45896"/>
    <w:rsid w:val="00B46221"/>
    <w:rsid w:val="00B46512"/>
    <w:rsid w:val="00B46820"/>
    <w:rsid w:val="00B46AD8"/>
    <w:rsid w:val="00B46E60"/>
    <w:rsid w:val="00B46EB4"/>
    <w:rsid w:val="00B4747F"/>
    <w:rsid w:val="00B476B5"/>
    <w:rsid w:val="00B50B02"/>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6B58"/>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2C3"/>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3779"/>
    <w:rsid w:val="00C74441"/>
    <w:rsid w:val="00C7483D"/>
    <w:rsid w:val="00C75ED1"/>
    <w:rsid w:val="00C77B24"/>
    <w:rsid w:val="00C77DD7"/>
    <w:rsid w:val="00C80E9E"/>
    <w:rsid w:val="00C81022"/>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B36"/>
    <w:rsid w:val="00D1668C"/>
    <w:rsid w:val="00D16A17"/>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872"/>
    <w:rsid w:val="00D92990"/>
    <w:rsid w:val="00D92AE4"/>
    <w:rsid w:val="00D930A1"/>
    <w:rsid w:val="00D93464"/>
    <w:rsid w:val="00D93C2B"/>
    <w:rsid w:val="00D946DF"/>
    <w:rsid w:val="00D94C31"/>
    <w:rsid w:val="00D94EA3"/>
    <w:rsid w:val="00D968B1"/>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7D2"/>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4BE"/>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5DE5"/>
    <w:rsid w:val="00E5627B"/>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408"/>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75F"/>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62D"/>
    <w:rsid w:val="00EE3A79"/>
    <w:rsid w:val="00EE439E"/>
    <w:rsid w:val="00EE475B"/>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668"/>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77F8"/>
    <w:rsid w:val="00F479D9"/>
    <w:rsid w:val="00F47F20"/>
    <w:rsid w:val="00F50AC7"/>
    <w:rsid w:val="00F510BA"/>
    <w:rsid w:val="00F525CA"/>
    <w:rsid w:val="00F52AB3"/>
    <w:rsid w:val="00F52ABE"/>
    <w:rsid w:val="00F530BE"/>
    <w:rsid w:val="00F539F6"/>
    <w:rsid w:val="00F53A44"/>
    <w:rsid w:val="00F53C15"/>
    <w:rsid w:val="00F53FBD"/>
    <w:rsid w:val="00F540EC"/>
    <w:rsid w:val="00F544A3"/>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B1D"/>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237"/>
    <w:rsid w:val="00F72BA1"/>
    <w:rsid w:val="00F74677"/>
    <w:rsid w:val="00F75656"/>
    <w:rsid w:val="00F7579E"/>
    <w:rsid w:val="00F762E3"/>
    <w:rsid w:val="00F76C56"/>
    <w:rsid w:val="00F770AA"/>
    <w:rsid w:val="00F77518"/>
    <w:rsid w:val="00F7789D"/>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5.xml><?xml version="1.0" encoding="utf-8"?>
<ds:datastoreItem xmlns:ds="http://schemas.openxmlformats.org/officeDocument/2006/customXml" ds:itemID="{ABCB34DA-CB7B-4357-BB0A-D0F55AF8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49</TotalTime>
  <Pages>4</Pages>
  <Words>1643</Words>
  <Characters>8775</Characters>
  <Application>Microsoft Office Word</Application>
  <DocSecurity>0</DocSecurity>
  <Lines>134</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10464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4</cp:revision>
  <cp:lastPrinted>2017-10-24T05:18:00Z</cp:lastPrinted>
  <dcterms:created xsi:type="dcterms:W3CDTF">2018-08-11T00:19:00Z</dcterms:created>
  <dcterms:modified xsi:type="dcterms:W3CDTF">2018-08-11T01:55:00Z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2018-08-11 01:55:00Z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